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WEEK 1 INTERNSHIP DELIVERABLE</w:t>
      </w:r>
    </w:p>
    <w:p>
      <w:pPr>
        <w:jc w:val="center"/>
      </w:pPr>
      <w:r>
        <w:rPr>
          <w:b/>
          <w:sz w:val="48"/>
        </w:rPr>
        <w:t>Strategic Research &amp; Planning in Agriculture Data Analysis</w:t>
      </w:r>
    </w:p>
    <w:p>
      <w:pPr>
        <w:jc w:val="center"/>
      </w:pPr>
      <w:r>
        <w:rPr>
          <w:i/>
        </w:rPr>
        <w:t>Research plan, data-source strategy, analytical methodology, timeline, resource allocation and risk assessment</w:t>
      </w:r>
    </w:p>
    <w:p>
      <w:pPr>
        <w:jc w:val="center"/>
      </w:pPr>
      <w:r>
        <w:rPr>
          <w:sz w:val="20"/>
        </w:rPr>
        <w:t>Prepared for Internship Submission • 34-Hour Week 1 Scope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Deliverable</w:t>
            </w:r>
          </w:p>
        </w:tc>
        <w:tc>
          <w:tcPr>
            <w:tcW w:type="dxa" w:w="5112"/>
            <w:vAlign w:val="center"/>
          </w:tcPr>
          <w:p>
            <w:r/>
            <w:r>
              <w:rPr>
                <w:b w:val="0"/>
                <w:sz w:val="17"/>
              </w:rPr>
              <w:t>Week 1 Strategic Research &amp; Planning Report</w:t>
            </w:r>
          </w:p>
        </w:tc>
      </w:tr>
      <w:tr>
        <w:tc>
          <w:tcPr>
            <w:tcW w:type="dxa" w:w="5112"/>
            <w:vAlign w:val="center"/>
            <w:shd w:fill="D9EAF7"/>
          </w:tcPr>
          <w:p>
            <w:r/>
            <w:r>
              <w:rPr>
                <w:b/>
                <w:sz w:val="17"/>
              </w:rPr>
              <w:t>Domain</w:t>
            </w:r>
          </w:p>
        </w:tc>
        <w:tc>
          <w:tcPr>
            <w:tcW w:type="dxa" w:w="5112"/>
            <w:vAlign w:val="center"/>
          </w:tcPr>
          <w:p>
            <w:r/>
            <w:r>
              <w:rPr>
                <w:b w:val="0"/>
                <w:sz w:val="17"/>
              </w:rPr>
              <w:t>Agriculture Data Analysis — India-focused with global benchmarks</w:t>
            </w:r>
          </w:p>
        </w:tc>
      </w:tr>
      <w:tr>
        <w:tc>
          <w:tcPr>
            <w:tcW w:type="dxa" w:w="5112"/>
            <w:vAlign w:val="center"/>
            <w:shd w:fill="D9EAF7"/>
          </w:tcPr>
          <w:p>
            <w:r/>
            <w:r>
              <w:rPr>
                <w:b/>
                <w:sz w:val="17"/>
              </w:rPr>
              <w:t>Planned Workload</w:t>
            </w:r>
          </w:p>
        </w:tc>
        <w:tc>
          <w:tcPr>
            <w:tcW w:type="dxa" w:w="5112"/>
            <w:vAlign w:val="center"/>
          </w:tcPr>
          <w:p>
            <w:r/>
            <w:r>
              <w:rPr>
                <w:b w:val="0"/>
                <w:sz w:val="17"/>
              </w:rPr>
              <w:t>34 hours</w:t>
            </w:r>
          </w:p>
        </w:tc>
      </w:tr>
      <w:tr>
        <w:tc>
          <w:tcPr>
            <w:tcW w:type="dxa" w:w="5112"/>
            <w:vAlign w:val="center"/>
            <w:shd w:fill="D9EAF7"/>
          </w:tcPr>
          <w:p>
            <w:r/>
            <w:r>
              <w:rPr>
                <w:b/>
                <w:sz w:val="17"/>
              </w:rPr>
              <w:t>Primary Output</w:t>
            </w:r>
          </w:p>
        </w:tc>
        <w:tc>
          <w:tcPr>
            <w:tcW w:type="dxa" w:w="5112"/>
            <w:vAlign w:val="center"/>
          </w:tcPr>
          <w:p>
            <w:r/>
            <w:r>
              <w:rPr>
                <w:b w:val="0"/>
                <w:sz w:val="17"/>
              </w:rPr>
              <w:t>Submission-ready DOCX + organized supporting research package</w:t>
            </w:r>
          </w:p>
        </w:tc>
      </w:tr>
    </w:tbl>
    <w:p>
      <w:r>
        <w:br w:type="page"/>
      </w:r>
    </w:p>
    <w:p>
      <w:pPr>
        <w:pStyle w:val="Heading1"/>
        <w:spacing w:before="180" w:after="80"/>
      </w:pPr>
      <w:r>
        <w:t>Executive Summary</w:t>
      </w:r>
    </w:p>
    <w:p>
      <w:r>
        <w:t>This Week 1 plan establishes a practical research and analytics framework for studying agricultural market trends, crop statistics and agribusiness developments using publicly available data. The strategy starts with authoritative Indian government sources and complements them with international datasets and research literature. The workflow moves from source discovery and data profiling to cleaning, exploratory analysis, market/crop trend analysis, validation and dashboard-ready outputs.</w:t>
      </w:r>
    </w:p>
    <w:p>
      <w:r>
        <w:t>The plan prioritizes the Directorate of Economics &amp; Statistics (ES&amp;E/DES) of the Department of Agriculture and Farmers Welfare for official crop statistics and agricultural estimates; the Government of India's Open Government Data platform for machine-readable datasets; e-NAM for mandi-level price, arrivals and trade information; FAOSTAT for international comparability; World Bank indicators for macro/agricultural context; ICAR for research and technology developments; and MoSPI/NSS for agricultural-household and socio-economic context.</w:t>
      </w:r>
    </w:p>
    <w:p>
      <w:r>
        <w:t>The Week 1 target is not to produce final business conclusions. It is to create a defensible research foundation: a source inventory, research-question framework, KPI dictionary, data-quality protocol, analysis plan, risk register and realistic 34-hour execution schedule.</w:t>
      </w:r>
    </w:p>
    <w:p>
      <w:pPr>
        <w:pStyle w:val="Heading1"/>
        <w:spacing w:before="180" w:after="80"/>
      </w:pPr>
      <w:r>
        <w:t>1. Scope of the Research</w:t>
      </w:r>
    </w:p>
    <w:p>
      <w:pPr>
        <w:pStyle w:val="Heading2"/>
        <w:spacing w:before="180" w:after="80"/>
      </w:pPr>
      <w:r>
        <w:t>1.1 In Scope</w:t>
      </w:r>
    </w:p>
    <w:p>
      <w:pPr>
        <w:pStyle w:val="ListBullet"/>
      </w:pPr>
      <w:r>
        <w:t>Indian crop area, production and yield trends by crop, state, district and season where available.</w:t>
      </w:r>
    </w:p>
    <w:p>
      <w:pPr>
        <w:pStyle w:val="ListBullet"/>
      </w:pPr>
      <w:r>
        <w:t>Agricultural commodity market behaviour: prices, arrivals, traded quantities and market-level variation.</w:t>
      </w:r>
    </w:p>
    <w:p>
      <w:pPr>
        <w:pStyle w:val="ListBullet"/>
      </w:pPr>
      <w:r>
        <w:t>Agribusiness context: production value, market integration, input/output trends, technology and research developments.</w:t>
      </w:r>
    </w:p>
    <w:p>
      <w:pPr>
        <w:pStyle w:val="ListBullet"/>
      </w:pPr>
      <w:r>
        <w:t>Seasonality, year-on-year changes, growth rates, volatility and geographic concentration.</w:t>
      </w:r>
    </w:p>
    <w:p>
      <w:pPr>
        <w:pStyle w:val="ListBullet"/>
      </w:pPr>
      <w:r>
        <w:t>Cross-source validation and documentation of definitions, units, coverage and update frequency.</w:t>
      </w:r>
    </w:p>
    <w:p>
      <w:pPr>
        <w:pStyle w:val="ListBullet"/>
      </w:pPr>
      <w:r>
        <w:t>Preparation of datasets and analytical specifications suitable for Python/SQL/Excel/Power BI or similar tools.</w:t>
      </w:r>
    </w:p>
    <w:p>
      <w:pPr>
        <w:pStyle w:val="Heading2"/>
        <w:spacing w:before="180" w:after="80"/>
      </w:pPr>
      <w:r>
        <w:t>1.2 Out of Scope for Week 1</w:t>
      </w:r>
    </w:p>
    <w:p>
      <w:pPr>
        <w:pStyle w:val="ListBullet"/>
      </w:pPr>
      <w:r>
        <w:t>Building a production-grade forecasting model.</w:t>
      </w:r>
    </w:p>
    <w:p>
      <w:pPr>
        <w:pStyle w:val="ListBullet"/>
      </w:pPr>
      <w:r>
        <w:t>Making investment, procurement or policy recommendations from incomplete data.</w:t>
      </w:r>
    </w:p>
    <w:p>
      <w:pPr>
        <w:pStyle w:val="ListBullet"/>
      </w:pPr>
      <w:r>
        <w:t>Collecting proprietary farmer, retailer or company data.</w:t>
      </w:r>
    </w:p>
    <w:p>
      <w:pPr>
        <w:pStyle w:val="ListBullet"/>
      </w:pPr>
      <w:r>
        <w:t>Causal claims without an appropriate identification strategy and supporting variables.</w:t>
      </w:r>
    </w:p>
    <w:p>
      <w:pPr>
        <w:pStyle w:val="ListBullet"/>
      </w:pPr>
      <w:r>
        <w:t>Treating old or incomplete datasets as current without explicitly documenting their coverage period.</w:t>
      </w:r>
    </w:p>
    <w:p>
      <w:pPr>
        <w:pStyle w:val="Heading1"/>
        <w:spacing w:before="180" w:after="80"/>
      </w:pPr>
      <w:r>
        <w:t>2. Strategic Objectives</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D9EAF7"/>
          </w:tcPr>
          <w:p>
            <w:r/>
            <w:r>
              <w:rPr>
                <w:b/>
                <w:sz w:val="17"/>
              </w:rPr>
              <w:t>ID</w:t>
            </w:r>
          </w:p>
        </w:tc>
        <w:tc>
          <w:tcPr>
            <w:tcW w:type="dxa" w:w="3408"/>
            <w:vAlign w:val="center"/>
            <w:shd w:fill="D9EAF7"/>
          </w:tcPr>
          <w:p>
            <w:r/>
            <w:r>
              <w:rPr>
                <w:b/>
                <w:sz w:val="17"/>
              </w:rPr>
              <w:t>Objective</w:t>
            </w:r>
          </w:p>
        </w:tc>
        <w:tc>
          <w:tcPr>
            <w:tcW w:type="dxa" w:w="3408"/>
            <w:vAlign w:val="center"/>
            <w:shd w:fill="D9EAF7"/>
          </w:tcPr>
          <w:p>
            <w:r/>
            <w:r>
              <w:rPr>
                <w:b/>
                <w:sz w:val="17"/>
              </w:rPr>
              <w:t>Success criterion</w:t>
            </w:r>
          </w:p>
        </w:tc>
      </w:tr>
      <w:tr>
        <w:tc>
          <w:tcPr>
            <w:tcW w:type="dxa" w:w="3408"/>
            <w:vAlign w:val="center"/>
          </w:tcPr>
          <w:p>
            <w:r/>
            <w:r>
              <w:rPr>
                <w:b w:val="0"/>
                <w:sz w:val="17"/>
              </w:rPr>
              <w:t>O1</w:t>
            </w:r>
          </w:p>
        </w:tc>
        <w:tc>
          <w:tcPr>
            <w:tcW w:type="dxa" w:w="3408"/>
            <w:vAlign w:val="center"/>
          </w:tcPr>
          <w:p>
            <w:r/>
            <w:r>
              <w:rPr>
                <w:b w:val="0"/>
                <w:sz w:val="17"/>
              </w:rPr>
              <w:t>Build a reliable public-data source map</w:t>
            </w:r>
          </w:p>
        </w:tc>
        <w:tc>
          <w:tcPr>
            <w:tcW w:type="dxa" w:w="3408"/>
            <w:vAlign w:val="center"/>
          </w:tcPr>
          <w:p>
            <w:r/>
            <w:r>
              <w:rPr>
                <w:b w:val="0"/>
                <w:sz w:val="17"/>
              </w:rPr>
              <w:t>Identify authoritative sources, access method, granularity, frequency, coverage, licensing and limitations.</w:t>
            </w:r>
          </w:p>
        </w:tc>
      </w:tr>
      <w:tr>
        <w:tc>
          <w:tcPr>
            <w:tcW w:type="dxa" w:w="3408"/>
            <w:vAlign w:val="center"/>
          </w:tcPr>
          <w:p>
            <w:r/>
            <w:r>
              <w:rPr>
                <w:b w:val="0"/>
                <w:sz w:val="17"/>
              </w:rPr>
              <w:t>O2</w:t>
            </w:r>
          </w:p>
        </w:tc>
        <w:tc>
          <w:tcPr>
            <w:tcW w:type="dxa" w:w="3408"/>
            <w:vAlign w:val="center"/>
          </w:tcPr>
          <w:p>
            <w:r/>
            <w:r>
              <w:rPr>
                <w:b w:val="0"/>
                <w:sz w:val="17"/>
              </w:rPr>
              <w:t>Define research questions</w:t>
            </w:r>
          </w:p>
        </w:tc>
        <w:tc>
          <w:tcPr>
            <w:tcW w:type="dxa" w:w="3408"/>
            <w:vAlign w:val="center"/>
          </w:tcPr>
          <w:p>
            <w:r/>
            <w:r>
              <w:rPr>
                <w:b w:val="0"/>
                <w:sz w:val="17"/>
              </w:rPr>
              <w:t>Translate broad agriculture topics into measurable questions that can be answered with public data.</w:t>
            </w:r>
          </w:p>
        </w:tc>
      </w:tr>
      <w:tr>
        <w:tc>
          <w:tcPr>
            <w:tcW w:type="dxa" w:w="3408"/>
            <w:vAlign w:val="center"/>
          </w:tcPr>
          <w:p>
            <w:r/>
            <w:r>
              <w:rPr>
                <w:b w:val="0"/>
                <w:sz w:val="17"/>
              </w:rPr>
              <w:t>O3</w:t>
            </w:r>
          </w:p>
        </w:tc>
        <w:tc>
          <w:tcPr>
            <w:tcW w:type="dxa" w:w="3408"/>
            <w:vAlign w:val="center"/>
          </w:tcPr>
          <w:p>
            <w:r/>
            <w:r>
              <w:rPr>
                <w:b w:val="0"/>
                <w:sz w:val="17"/>
              </w:rPr>
              <w:t>Define KPIs and analytical metrics</w:t>
            </w:r>
          </w:p>
        </w:tc>
        <w:tc>
          <w:tcPr>
            <w:tcW w:type="dxa" w:w="3408"/>
            <w:vAlign w:val="center"/>
          </w:tcPr>
          <w:p>
            <w:r/>
            <w:r>
              <w:rPr>
                <w:b w:val="0"/>
                <w:sz w:val="17"/>
              </w:rPr>
              <w:t>Create a common measurement framework for crop performance, markets and agribusiness.</w:t>
            </w:r>
          </w:p>
        </w:tc>
      </w:tr>
      <w:tr>
        <w:tc>
          <w:tcPr>
            <w:tcW w:type="dxa" w:w="3408"/>
            <w:vAlign w:val="center"/>
          </w:tcPr>
          <w:p>
            <w:r/>
            <w:r>
              <w:rPr>
                <w:b w:val="0"/>
                <w:sz w:val="17"/>
              </w:rPr>
              <w:t>O4</w:t>
            </w:r>
          </w:p>
        </w:tc>
        <w:tc>
          <w:tcPr>
            <w:tcW w:type="dxa" w:w="3408"/>
            <w:vAlign w:val="center"/>
          </w:tcPr>
          <w:p>
            <w:r/>
            <w:r>
              <w:rPr>
                <w:b w:val="0"/>
                <w:sz w:val="17"/>
              </w:rPr>
              <w:t>Design the data pipeline</w:t>
            </w:r>
          </w:p>
        </w:tc>
        <w:tc>
          <w:tcPr>
            <w:tcW w:type="dxa" w:w="3408"/>
            <w:vAlign w:val="center"/>
          </w:tcPr>
          <w:p>
            <w:r/>
            <w:r>
              <w:rPr>
                <w:b w:val="0"/>
                <w:sz w:val="17"/>
              </w:rPr>
              <w:t>Specify extraction, profiling, cleaning, validation, transformation and storage steps.</w:t>
            </w:r>
          </w:p>
        </w:tc>
      </w:tr>
      <w:tr>
        <w:tc>
          <w:tcPr>
            <w:tcW w:type="dxa" w:w="3408"/>
            <w:vAlign w:val="center"/>
          </w:tcPr>
          <w:p>
            <w:r/>
            <w:r>
              <w:rPr>
                <w:b w:val="0"/>
                <w:sz w:val="17"/>
              </w:rPr>
              <w:t>O5</w:t>
            </w:r>
          </w:p>
        </w:tc>
        <w:tc>
          <w:tcPr>
            <w:tcW w:type="dxa" w:w="3408"/>
            <w:vAlign w:val="center"/>
          </w:tcPr>
          <w:p>
            <w:r/>
            <w:r>
              <w:rPr>
                <w:b w:val="0"/>
                <w:sz w:val="17"/>
              </w:rPr>
              <w:t>Plan analytical methods</w:t>
            </w:r>
          </w:p>
        </w:tc>
        <w:tc>
          <w:tcPr>
            <w:tcW w:type="dxa" w:w="3408"/>
            <w:vAlign w:val="center"/>
          </w:tcPr>
          <w:p>
            <w:r/>
            <w:r>
              <w:rPr>
                <w:b w:val="0"/>
                <w:sz w:val="17"/>
              </w:rPr>
              <w:t>Select descriptive, comparative, time-series, volatility, correlation and optional predictive techniques.</w:t>
            </w:r>
          </w:p>
        </w:tc>
      </w:tr>
      <w:tr>
        <w:tc>
          <w:tcPr>
            <w:tcW w:type="dxa" w:w="3408"/>
            <w:vAlign w:val="center"/>
          </w:tcPr>
          <w:p>
            <w:r/>
            <w:r>
              <w:rPr>
                <w:b w:val="0"/>
                <w:sz w:val="17"/>
              </w:rPr>
              <w:t>O6</w:t>
            </w:r>
          </w:p>
        </w:tc>
        <w:tc>
          <w:tcPr>
            <w:tcW w:type="dxa" w:w="3408"/>
            <w:vAlign w:val="center"/>
          </w:tcPr>
          <w:p>
            <w:r/>
            <w:r>
              <w:rPr>
                <w:b w:val="0"/>
                <w:sz w:val="17"/>
              </w:rPr>
              <w:t>Create a realistic execution plan</w:t>
            </w:r>
          </w:p>
        </w:tc>
        <w:tc>
          <w:tcPr>
            <w:tcW w:type="dxa" w:w="3408"/>
            <w:vAlign w:val="center"/>
          </w:tcPr>
          <w:p>
            <w:r/>
            <w:r>
              <w:rPr>
                <w:b w:val="0"/>
                <w:sz w:val="17"/>
              </w:rPr>
              <w:t>Allocate 30–35 hours with milestones, dependencies, outputs and quality checks.</w:t>
            </w:r>
          </w:p>
        </w:tc>
      </w:tr>
    </w:tbl>
    <w:p>
      <w:pPr>
        <w:pStyle w:val="Heading1"/>
        <w:spacing w:before="180" w:after="80"/>
      </w:pPr>
      <w:r>
        <w:t>3. Public Data Source Strategy</w:t>
      </w:r>
    </w:p>
    <w:p>
      <w:r>
        <w:t>Source selection follows a hierarchy: (1) official Indian government statistics for primary measures; (2) official market systems for transaction/price context; (3) international databases for benchmarking; (4) research institutions for agribusiness and technology context; and (5) academic literature for methods and interpretation. Each dataset should be accompanied by a source URL, access date, coverage period, definition notes and transformation log.</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r/>
            <w:r>
              <w:rPr>
                <w:b/>
                <w:sz w:val="17"/>
              </w:rPr>
              <w:t>#</w:t>
            </w:r>
          </w:p>
        </w:tc>
        <w:tc>
          <w:tcPr>
            <w:tcW w:type="dxa" w:w="1704"/>
            <w:vAlign w:val="center"/>
            <w:shd w:fill="D9EAF7"/>
          </w:tcPr>
          <w:p>
            <w:r/>
            <w:r>
              <w:rPr>
                <w:b/>
                <w:sz w:val="17"/>
              </w:rPr>
              <w:t>Source</w:t>
            </w:r>
          </w:p>
        </w:tc>
        <w:tc>
          <w:tcPr>
            <w:tcW w:type="dxa" w:w="1704"/>
            <w:vAlign w:val="center"/>
            <w:shd w:fill="D9EAF7"/>
          </w:tcPr>
          <w:p>
            <w:r/>
            <w:r>
              <w:rPr>
                <w:b/>
                <w:sz w:val="17"/>
              </w:rPr>
              <w:t>Key data</w:t>
            </w:r>
          </w:p>
        </w:tc>
        <w:tc>
          <w:tcPr>
            <w:tcW w:type="dxa" w:w="1704"/>
            <w:vAlign w:val="center"/>
            <w:shd w:fill="D9EAF7"/>
          </w:tcPr>
          <w:p>
            <w:r/>
            <w:r>
              <w:rPr>
                <w:b/>
                <w:sz w:val="17"/>
              </w:rPr>
              <w:t>Relevance</w:t>
            </w:r>
          </w:p>
        </w:tc>
        <w:tc>
          <w:tcPr>
            <w:tcW w:type="dxa" w:w="1704"/>
            <w:vAlign w:val="center"/>
            <w:shd w:fill="D9EAF7"/>
          </w:tcPr>
          <w:p>
            <w:r/>
            <w:r>
              <w:rPr>
                <w:b/>
                <w:sz w:val="17"/>
              </w:rPr>
              <w:t>Priority</w:t>
            </w:r>
          </w:p>
        </w:tc>
        <w:tc>
          <w:tcPr>
            <w:tcW w:type="dxa" w:w="1704"/>
            <w:vAlign w:val="center"/>
            <w:shd w:fill="D9EAF7"/>
          </w:tcPr>
          <w:p>
            <w:r/>
            <w:r>
              <w:rPr>
                <w:b/>
                <w:sz w:val="17"/>
              </w:rPr>
              <w:t>Access</w:t>
            </w:r>
          </w:p>
        </w:tc>
      </w:tr>
      <w:tr>
        <w:tc>
          <w:tcPr>
            <w:tcW w:type="dxa" w:w="1704"/>
            <w:vAlign w:val="center"/>
          </w:tcPr>
          <w:p>
            <w:r/>
            <w:r>
              <w:rPr>
                <w:b w:val="0"/>
                <w:sz w:val="17"/>
              </w:rPr>
              <w:t>1</w:t>
            </w:r>
          </w:p>
        </w:tc>
        <w:tc>
          <w:tcPr>
            <w:tcW w:type="dxa" w:w="1704"/>
            <w:vAlign w:val="center"/>
          </w:tcPr>
          <w:p>
            <w:r/>
            <w:r>
              <w:rPr>
                <w:b w:val="0"/>
                <w:sz w:val="17"/>
              </w:rPr>
              <w:t>Department of Agriculture &amp; Farmers Welfare — ES&amp;E / DES</w:t>
            </w:r>
          </w:p>
        </w:tc>
        <w:tc>
          <w:tcPr>
            <w:tcW w:type="dxa" w:w="1704"/>
            <w:vAlign w:val="center"/>
          </w:tcPr>
          <w:p>
            <w:r/>
            <w:r>
              <w:rPr>
                <w:b w:val="0"/>
                <w:sz w:val="17"/>
              </w:rPr>
              <w:t>Agricultural Statistics at a Glance; crop estimates; MSP-related material; land-use statistics</w:t>
            </w:r>
          </w:p>
        </w:tc>
        <w:tc>
          <w:tcPr>
            <w:tcW w:type="dxa" w:w="1704"/>
            <w:vAlign w:val="center"/>
          </w:tcPr>
          <w:p>
            <w:r/>
            <w:r>
              <w:rPr>
                <w:b w:val="0"/>
                <w:sz w:val="17"/>
              </w:rPr>
              <w:t>Primary official source for India-wide agriculture statistics and policy-relevant measures.</w:t>
            </w:r>
          </w:p>
        </w:tc>
        <w:tc>
          <w:tcPr>
            <w:tcW w:type="dxa" w:w="1704"/>
            <w:vAlign w:val="center"/>
          </w:tcPr>
          <w:p>
            <w:r/>
            <w:r>
              <w:rPr>
                <w:b w:val="0"/>
                <w:sz w:val="17"/>
              </w:rPr>
              <w:t>High</w:t>
            </w:r>
          </w:p>
        </w:tc>
        <w:tc>
          <w:tcPr>
            <w:tcW w:type="dxa" w:w="1704"/>
            <w:vAlign w:val="center"/>
          </w:tcPr>
          <w:p>
            <w:r/>
            <w:r>
              <w:rPr>
                <w:b w:val="0"/>
                <w:sz w:val="17"/>
              </w:rPr>
              <w:t>https://desagri.gov.in/</w:t>
            </w:r>
          </w:p>
        </w:tc>
      </w:tr>
      <w:tr>
        <w:tc>
          <w:tcPr>
            <w:tcW w:type="dxa" w:w="1704"/>
            <w:vAlign w:val="center"/>
          </w:tcPr>
          <w:p>
            <w:r/>
            <w:r>
              <w:rPr>
                <w:b w:val="0"/>
                <w:sz w:val="17"/>
              </w:rPr>
              <w:t>2</w:t>
            </w:r>
          </w:p>
        </w:tc>
        <w:tc>
          <w:tcPr>
            <w:tcW w:type="dxa" w:w="1704"/>
            <w:vAlign w:val="center"/>
          </w:tcPr>
          <w:p>
            <w:r/>
            <w:r>
              <w:rPr>
                <w:b w:val="0"/>
                <w:sz w:val="17"/>
              </w:rPr>
              <w:t>DES Area, Production &amp; Yield Reports</w:t>
            </w:r>
          </w:p>
        </w:tc>
        <w:tc>
          <w:tcPr>
            <w:tcW w:type="dxa" w:w="1704"/>
            <w:vAlign w:val="center"/>
          </w:tcPr>
          <w:p>
            <w:r/>
            <w:r>
              <w:rPr>
                <w:b w:val="0"/>
                <w:sz w:val="17"/>
              </w:rPr>
              <w:t>State/district/crop/season/year reports for area, production and yield</w:t>
            </w:r>
          </w:p>
        </w:tc>
        <w:tc>
          <w:tcPr>
            <w:tcW w:type="dxa" w:w="1704"/>
            <w:vAlign w:val="center"/>
          </w:tcPr>
          <w:p>
            <w:r/>
            <w:r>
              <w:rPr>
                <w:b w:val="0"/>
                <w:sz w:val="17"/>
              </w:rPr>
              <w:t>Core analytical source for crop performance and geographic comparisons.</w:t>
            </w:r>
          </w:p>
        </w:tc>
        <w:tc>
          <w:tcPr>
            <w:tcW w:type="dxa" w:w="1704"/>
            <w:vAlign w:val="center"/>
          </w:tcPr>
          <w:p>
            <w:r/>
            <w:r>
              <w:rPr>
                <w:b w:val="0"/>
                <w:sz w:val="17"/>
              </w:rPr>
              <w:t>High</w:t>
            </w:r>
          </w:p>
        </w:tc>
        <w:tc>
          <w:tcPr>
            <w:tcW w:type="dxa" w:w="1704"/>
            <w:vAlign w:val="center"/>
          </w:tcPr>
          <w:p>
            <w:r/>
            <w:r>
              <w:rPr>
                <w:b w:val="0"/>
                <w:sz w:val="17"/>
              </w:rPr>
              <w:t>https://data.desagri.gov.in/website/crops-apy-report-web</w:t>
            </w:r>
          </w:p>
        </w:tc>
      </w:tr>
      <w:tr>
        <w:tc>
          <w:tcPr>
            <w:tcW w:type="dxa" w:w="1704"/>
            <w:vAlign w:val="center"/>
          </w:tcPr>
          <w:p>
            <w:r/>
            <w:r>
              <w:rPr>
                <w:b w:val="0"/>
                <w:sz w:val="17"/>
              </w:rPr>
              <w:t>3</w:t>
            </w:r>
          </w:p>
        </w:tc>
        <w:tc>
          <w:tcPr>
            <w:tcW w:type="dxa" w:w="1704"/>
            <w:vAlign w:val="center"/>
          </w:tcPr>
          <w:p>
            <w:r/>
            <w:r>
              <w:rPr>
                <w:b w:val="0"/>
                <w:sz w:val="17"/>
              </w:rPr>
              <w:t>Open Government Data (data.gov.in)</w:t>
            </w:r>
          </w:p>
        </w:tc>
        <w:tc>
          <w:tcPr>
            <w:tcW w:type="dxa" w:w="1704"/>
            <w:vAlign w:val="center"/>
          </w:tcPr>
          <w:p>
            <w:r/>
            <w:r>
              <w:rPr>
                <w:b w:val="0"/>
                <w:sz w:val="17"/>
              </w:rPr>
              <w:t>District-wise, season-wise crop production; agriculture sector datasets/APIs</w:t>
            </w:r>
          </w:p>
        </w:tc>
        <w:tc>
          <w:tcPr>
            <w:tcW w:type="dxa" w:w="1704"/>
            <w:vAlign w:val="center"/>
          </w:tcPr>
          <w:p>
            <w:r/>
            <w:r>
              <w:rPr>
                <w:b w:val="0"/>
                <w:sz w:val="17"/>
              </w:rPr>
              <w:t>Machine-readable government datasets; useful for reproducible extraction and analysis.</w:t>
            </w:r>
          </w:p>
        </w:tc>
        <w:tc>
          <w:tcPr>
            <w:tcW w:type="dxa" w:w="1704"/>
            <w:vAlign w:val="center"/>
          </w:tcPr>
          <w:p>
            <w:r/>
            <w:r>
              <w:rPr>
                <w:b w:val="0"/>
                <w:sz w:val="17"/>
              </w:rPr>
              <w:t>High</w:t>
            </w:r>
          </w:p>
        </w:tc>
        <w:tc>
          <w:tcPr>
            <w:tcW w:type="dxa" w:w="1704"/>
            <w:vAlign w:val="center"/>
          </w:tcPr>
          <w:p>
            <w:r/>
            <w:r>
              <w:rPr>
                <w:b w:val="0"/>
                <w:sz w:val="17"/>
              </w:rPr>
              <w:t>https://data.gov.in/</w:t>
            </w:r>
          </w:p>
        </w:tc>
      </w:tr>
      <w:tr>
        <w:tc>
          <w:tcPr>
            <w:tcW w:type="dxa" w:w="1704"/>
            <w:vAlign w:val="center"/>
          </w:tcPr>
          <w:p>
            <w:r/>
            <w:r>
              <w:rPr>
                <w:b w:val="0"/>
                <w:sz w:val="17"/>
              </w:rPr>
              <w:t>4</w:t>
            </w:r>
          </w:p>
        </w:tc>
        <w:tc>
          <w:tcPr>
            <w:tcW w:type="dxa" w:w="1704"/>
            <w:vAlign w:val="center"/>
          </w:tcPr>
          <w:p>
            <w:r/>
            <w:r>
              <w:rPr>
                <w:b w:val="0"/>
                <w:sz w:val="17"/>
              </w:rPr>
              <w:t>e-NAM</w:t>
            </w:r>
          </w:p>
        </w:tc>
        <w:tc>
          <w:tcPr>
            <w:tcW w:type="dxa" w:w="1704"/>
            <w:vAlign w:val="center"/>
          </w:tcPr>
          <w:p>
            <w:r/>
            <w:r>
              <w:rPr>
                <w:b w:val="0"/>
                <w:sz w:val="17"/>
              </w:rPr>
              <w:t>Mandi prices, arrivals, traded quantities; historical trade data</w:t>
            </w:r>
          </w:p>
        </w:tc>
        <w:tc>
          <w:tcPr>
            <w:tcW w:type="dxa" w:w="1704"/>
            <w:vAlign w:val="center"/>
          </w:tcPr>
          <w:p>
            <w:r/>
            <w:r>
              <w:rPr>
                <w:b w:val="0"/>
                <w:sz w:val="17"/>
              </w:rPr>
              <w:t>Direct market-trend evidence at commodity/APMC/date level.</w:t>
            </w:r>
          </w:p>
        </w:tc>
        <w:tc>
          <w:tcPr>
            <w:tcW w:type="dxa" w:w="1704"/>
            <w:vAlign w:val="center"/>
          </w:tcPr>
          <w:p>
            <w:r/>
            <w:r>
              <w:rPr>
                <w:b w:val="0"/>
                <w:sz w:val="17"/>
              </w:rPr>
              <w:t>High</w:t>
            </w:r>
          </w:p>
        </w:tc>
        <w:tc>
          <w:tcPr>
            <w:tcW w:type="dxa" w:w="1704"/>
            <w:vAlign w:val="center"/>
          </w:tcPr>
          <w:p>
            <w:r/>
            <w:r>
              <w:rPr>
                <w:b w:val="0"/>
                <w:sz w:val="17"/>
              </w:rPr>
              <w:t>https://www.enam.gov.in/</w:t>
            </w:r>
          </w:p>
        </w:tc>
      </w:tr>
      <w:tr>
        <w:tc>
          <w:tcPr>
            <w:tcW w:type="dxa" w:w="1704"/>
            <w:vAlign w:val="center"/>
          </w:tcPr>
          <w:p>
            <w:r/>
            <w:r>
              <w:rPr>
                <w:b w:val="0"/>
                <w:sz w:val="17"/>
              </w:rPr>
              <w:t>5</w:t>
            </w:r>
          </w:p>
        </w:tc>
        <w:tc>
          <w:tcPr>
            <w:tcW w:type="dxa" w:w="1704"/>
            <w:vAlign w:val="center"/>
          </w:tcPr>
          <w:p>
            <w:r/>
            <w:r>
              <w:rPr>
                <w:b w:val="0"/>
                <w:sz w:val="17"/>
              </w:rPr>
              <w:t>FAOSTAT</w:t>
            </w:r>
          </w:p>
        </w:tc>
        <w:tc>
          <w:tcPr>
            <w:tcW w:type="dxa" w:w="1704"/>
            <w:vAlign w:val="center"/>
          </w:tcPr>
          <w:p>
            <w:r/>
            <w:r>
              <w:rPr>
                <w:b w:val="0"/>
                <w:sz w:val="17"/>
              </w:rPr>
              <w:t>Production, producer prices, production value and international agriculture indicators</w:t>
            </w:r>
          </w:p>
        </w:tc>
        <w:tc>
          <w:tcPr>
            <w:tcW w:type="dxa" w:w="1704"/>
            <w:vAlign w:val="center"/>
          </w:tcPr>
          <w:p>
            <w:r/>
            <w:r>
              <w:rPr>
                <w:b w:val="0"/>
                <w:sz w:val="17"/>
              </w:rPr>
              <w:t>International benchmarking and cross-country/cross-commodity comparisons.</w:t>
            </w:r>
          </w:p>
        </w:tc>
        <w:tc>
          <w:tcPr>
            <w:tcW w:type="dxa" w:w="1704"/>
            <w:vAlign w:val="center"/>
          </w:tcPr>
          <w:p>
            <w:r/>
            <w:r>
              <w:rPr>
                <w:b w:val="0"/>
                <w:sz w:val="17"/>
              </w:rPr>
              <w:t>High</w:t>
            </w:r>
          </w:p>
        </w:tc>
        <w:tc>
          <w:tcPr>
            <w:tcW w:type="dxa" w:w="1704"/>
            <w:vAlign w:val="center"/>
          </w:tcPr>
          <w:p>
            <w:r/>
            <w:r>
              <w:rPr>
                <w:b w:val="0"/>
                <w:sz w:val="17"/>
              </w:rPr>
              <w:t>https://www.fao.org/faostat/</w:t>
            </w:r>
          </w:p>
        </w:tc>
      </w:tr>
      <w:tr>
        <w:tc>
          <w:tcPr>
            <w:tcW w:type="dxa" w:w="1704"/>
            <w:vAlign w:val="center"/>
          </w:tcPr>
          <w:p>
            <w:r/>
            <w:r>
              <w:rPr>
                <w:b w:val="0"/>
                <w:sz w:val="17"/>
              </w:rPr>
              <w:t>6</w:t>
            </w:r>
          </w:p>
        </w:tc>
        <w:tc>
          <w:tcPr>
            <w:tcW w:type="dxa" w:w="1704"/>
            <w:vAlign w:val="center"/>
          </w:tcPr>
          <w:p>
            <w:r/>
            <w:r>
              <w:rPr>
                <w:b w:val="0"/>
                <w:sz w:val="17"/>
              </w:rPr>
              <w:t>World Bank — Agriculture &amp; Rural Development Indicators</w:t>
            </w:r>
          </w:p>
        </w:tc>
        <w:tc>
          <w:tcPr>
            <w:tcW w:type="dxa" w:w="1704"/>
            <w:vAlign w:val="center"/>
          </w:tcPr>
          <w:p>
            <w:r/>
            <w:r>
              <w:rPr>
                <w:b w:val="0"/>
                <w:sz w:val="17"/>
              </w:rPr>
              <w:t>Agriculture value added, land, yields, employment and related indicators</w:t>
            </w:r>
          </w:p>
        </w:tc>
        <w:tc>
          <w:tcPr>
            <w:tcW w:type="dxa" w:w="1704"/>
            <w:vAlign w:val="center"/>
          </w:tcPr>
          <w:p>
            <w:r/>
            <w:r>
              <w:rPr>
                <w:b w:val="0"/>
                <w:sz w:val="17"/>
              </w:rPr>
              <w:t>Macro-level context and standardized international indicators.</w:t>
            </w:r>
          </w:p>
        </w:tc>
        <w:tc>
          <w:tcPr>
            <w:tcW w:type="dxa" w:w="1704"/>
            <w:vAlign w:val="center"/>
          </w:tcPr>
          <w:p>
            <w:r/>
            <w:r>
              <w:rPr>
                <w:b w:val="0"/>
                <w:sz w:val="17"/>
              </w:rPr>
              <w:t>High</w:t>
            </w:r>
          </w:p>
        </w:tc>
        <w:tc>
          <w:tcPr>
            <w:tcW w:type="dxa" w:w="1704"/>
            <w:vAlign w:val="center"/>
          </w:tcPr>
          <w:p>
            <w:r/>
            <w:r>
              <w:rPr>
                <w:b w:val="0"/>
                <w:sz w:val="17"/>
              </w:rPr>
              <w:t>https://data.worldbank.org/</w:t>
            </w:r>
          </w:p>
        </w:tc>
      </w:tr>
      <w:tr>
        <w:tc>
          <w:tcPr>
            <w:tcW w:type="dxa" w:w="1704"/>
            <w:vAlign w:val="center"/>
          </w:tcPr>
          <w:p>
            <w:r/>
            <w:r>
              <w:rPr>
                <w:b w:val="0"/>
                <w:sz w:val="17"/>
              </w:rPr>
              <w:t>7</w:t>
            </w:r>
          </w:p>
        </w:tc>
        <w:tc>
          <w:tcPr>
            <w:tcW w:type="dxa" w:w="1704"/>
            <w:vAlign w:val="center"/>
          </w:tcPr>
          <w:p>
            <w:r/>
            <w:r>
              <w:rPr>
                <w:b w:val="0"/>
                <w:sz w:val="17"/>
              </w:rPr>
              <w:t>ICAR</w:t>
            </w:r>
          </w:p>
        </w:tc>
        <w:tc>
          <w:tcPr>
            <w:tcW w:type="dxa" w:w="1704"/>
            <w:vAlign w:val="center"/>
          </w:tcPr>
          <w:p>
            <w:r/>
            <w:r>
              <w:rPr>
                <w:b w:val="0"/>
                <w:sz w:val="17"/>
              </w:rPr>
              <w:t>Annual reports, publications, crop research programmes and technology developments</w:t>
            </w:r>
          </w:p>
        </w:tc>
        <w:tc>
          <w:tcPr>
            <w:tcW w:type="dxa" w:w="1704"/>
            <w:vAlign w:val="center"/>
          </w:tcPr>
          <w:p>
            <w:r/>
            <w:r>
              <w:rPr>
                <w:b w:val="0"/>
                <w:sz w:val="17"/>
              </w:rPr>
              <w:t>Research and agribusiness/technology context; helps connect quantitative trends to innovation.</w:t>
            </w:r>
          </w:p>
        </w:tc>
        <w:tc>
          <w:tcPr>
            <w:tcW w:type="dxa" w:w="1704"/>
            <w:vAlign w:val="center"/>
          </w:tcPr>
          <w:p>
            <w:r/>
            <w:r>
              <w:rPr>
                <w:b w:val="0"/>
                <w:sz w:val="17"/>
              </w:rPr>
              <w:t>High</w:t>
            </w:r>
          </w:p>
        </w:tc>
        <w:tc>
          <w:tcPr>
            <w:tcW w:type="dxa" w:w="1704"/>
            <w:vAlign w:val="center"/>
          </w:tcPr>
          <w:p>
            <w:r/>
            <w:r>
              <w:rPr>
                <w:b w:val="0"/>
                <w:sz w:val="17"/>
              </w:rPr>
              <w:t>https://www.icar.gov.in/</w:t>
            </w:r>
          </w:p>
        </w:tc>
      </w:tr>
      <w:tr>
        <w:tc>
          <w:tcPr>
            <w:tcW w:type="dxa" w:w="1704"/>
            <w:vAlign w:val="center"/>
          </w:tcPr>
          <w:p>
            <w:r/>
            <w:r>
              <w:rPr>
                <w:b w:val="0"/>
                <w:sz w:val="17"/>
              </w:rPr>
              <w:t>8</w:t>
            </w:r>
          </w:p>
        </w:tc>
        <w:tc>
          <w:tcPr>
            <w:tcW w:type="dxa" w:w="1704"/>
            <w:vAlign w:val="center"/>
          </w:tcPr>
          <w:p>
            <w:r/>
            <w:r>
              <w:rPr>
                <w:b w:val="0"/>
                <w:sz w:val="17"/>
              </w:rPr>
              <w:t>MoSPI / NSS</w:t>
            </w:r>
          </w:p>
        </w:tc>
        <w:tc>
          <w:tcPr>
            <w:tcW w:type="dxa" w:w="1704"/>
            <w:vAlign w:val="center"/>
          </w:tcPr>
          <w:p>
            <w:r/>
            <w:r>
              <w:rPr>
                <w:b w:val="0"/>
                <w:sz w:val="17"/>
              </w:rPr>
              <w:t>Situation Assessment of Agricultural Households and other NSS reports</w:t>
            </w:r>
          </w:p>
        </w:tc>
        <w:tc>
          <w:tcPr>
            <w:tcW w:type="dxa" w:w="1704"/>
            <w:vAlign w:val="center"/>
          </w:tcPr>
          <w:p>
            <w:r/>
            <w:r>
              <w:rPr>
                <w:b w:val="0"/>
                <w:sz w:val="17"/>
              </w:rPr>
              <w:t>Socio-economic context such as farm practices, income, assets, insurance and technology awareness.</w:t>
            </w:r>
          </w:p>
        </w:tc>
        <w:tc>
          <w:tcPr>
            <w:tcW w:type="dxa" w:w="1704"/>
            <w:vAlign w:val="center"/>
          </w:tcPr>
          <w:p>
            <w:r/>
            <w:r>
              <w:rPr>
                <w:b w:val="0"/>
                <w:sz w:val="17"/>
              </w:rPr>
              <w:t>High</w:t>
            </w:r>
          </w:p>
        </w:tc>
        <w:tc>
          <w:tcPr>
            <w:tcW w:type="dxa" w:w="1704"/>
            <w:vAlign w:val="center"/>
          </w:tcPr>
          <w:p>
            <w:r/>
            <w:r>
              <w:rPr>
                <w:b w:val="0"/>
                <w:sz w:val="17"/>
              </w:rPr>
              <w:t>https://www.mospi.gov.in/</w:t>
            </w:r>
          </w:p>
        </w:tc>
      </w:tr>
      <w:tr>
        <w:tc>
          <w:tcPr>
            <w:tcW w:type="dxa" w:w="1704"/>
            <w:vAlign w:val="center"/>
          </w:tcPr>
          <w:p>
            <w:r/>
            <w:r>
              <w:rPr>
                <w:b w:val="0"/>
                <w:sz w:val="17"/>
              </w:rPr>
              <w:t>9</w:t>
            </w:r>
          </w:p>
        </w:tc>
        <w:tc>
          <w:tcPr>
            <w:tcW w:type="dxa" w:w="1704"/>
            <w:vAlign w:val="center"/>
          </w:tcPr>
          <w:p>
            <w:r/>
            <w:r>
              <w:rPr>
                <w:b w:val="0"/>
                <w:sz w:val="17"/>
              </w:rPr>
              <w:t>Academic literature databases</w:t>
            </w:r>
          </w:p>
        </w:tc>
        <w:tc>
          <w:tcPr>
            <w:tcW w:type="dxa" w:w="1704"/>
            <w:vAlign w:val="center"/>
          </w:tcPr>
          <w:p>
            <w:r/>
            <w:r>
              <w:rPr>
                <w:b w:val="0"/>
                <w:sz w:val="17"/>
              </w:rPr>
              <w:t>Peer-reviewed agriculture economics, market integration, forecasting and yield studies</w:t>
            </w:r>
          </w:p>
        </w:tc>
        <w:tc>
          <w:tcPr>
            <w:tcW w:type="dxa" w:w="1704"/>
            <w:vAlign w:val="center"/>
          </w:tcPr>
          <w:p>
            <w:r/>
            <w:r>
              <w:rPr>
                <w:b w:val="0"/>
                <w:sz w:val="17"/>
              </w:rPr>
              <w:t>Method selection, benchmark variables and interpretation of empirical findings.</w:t>
            </w:r>
          </w:p>
        </w:tc>
        <w:tc>
          <w:tcPr>
            <w:tcW w:type="dxa" w:w="1704"/>
            <w:vAlign w:val="center"/>
          </w:tcPr>
          <w:p>
            <w:r/>
            <w:r>
              <w:rPr>
                <w:b w:val="0"/>
                <w:sz w:val="17"/>
              </w:rPr>
              <w:t>Medium</w:t>
            </w:r>
          </w:p>
        </w:tc>
        <w:tc>
          <w:tcPr>
            <w:tcW w:type="dxa" w:w="1704"/>
            <w:vAlign w:val="center"/>
          </w:tcPr>
          <w:p>
            <w:r/>
            <w:r>
              <w:rPr>
                <w:b w:val="0"/>
                <w:sz w:val="17"/>
              </w:rPr>
              <w:t>Institution/library databases; Google Scholar/DOI records.</w:t>
            </w:r>
          </w:p>
        </w:tc>
      </w:tr>
      <w:tr>
        <w:tc>
          <w:tcPr>
            <w:tcW w:type="dxa" w:w="1704"/>
            <w:vAlign w:val="center"/>
          </w:tcPr>
          <w:p>
            <w:r/>
            <w:r>
              <w:rPr>
                <w:b w:val="0"/>
                <w:sz w:val="17"/>
              </w:rPr>
              <w:t>10</w:t>
            </w:r>
          </w:p>
        </w:tc>
        <w:tc>
          <w:tcPr>
            <w:tcW w:type="dxa" w:w="1704"/>
            <w:vAlign w:val="center"/>
          </w:tcPr>
          <w:p>
            <w:r/>
            <w:r>
              <w:rPr>
                <w:b w:val="0"/>
                <w:sz w:val="17"/>
              </w:rPr>
              <w:t>Industry publications</w:t>
            </w:r>
          </w:p>
        </w:tc>
        <w:tc>
          <w:tcPr>
            <w:tcW w:type="dxa" w:w="1704"/>
            <w:vAlign w:val="center"/>
          </w:tcPr>
          <w:p>
            <w:r/>
            <w:r>
              <w:rPr>
                <w:b w:val="0"/>
                <w:sz w:val="17"/>
              </w:rPr>
              <w:t>Commodity outlooks, agribusiness reports and market commentary</w:t>
            </w:r>
          </w:p>
        </w:tc>
        <w:tc>
          <w:tcPr>
            <w:tcW w:type="dxa" w:w="1704"/>
            <w:vAlign w:val="center"/>
          </w:tcPr>
          <w:p>
            <w:r/>
            <w:r>
              <w:rPr>
                <w:b w:val="0"/>
                <w:sz w:val="17"/>
              </w:rPr>
              <w:t>Contextual signals and hypotheses; use only with source attribution and methodology checks.</w:t>
            </w:r>
          </w:p>
        </w:tc>
        <w:tc>
          <w:tcPr>
            <w:tcW w:type="dxa" w:w="1704"/>
            <w:vAlign w:val="center"/>
          </w:tcPr>
          <w:p>
            <w:r/>
            <w:r>
              <w:rPr>
                <w:b w:val="0"/>
                <w:sz w:val="17"/>
              </w:rPr>
              <w:t>Medium</w:t>
            </w:r>
          </w:p>
        </w:tc>
        <w:tc>
          <w:tcPr>
            <w:tcW w:type="dxa" w:w="1704"/>
            <w:vAlign w:val="center"/>
          </w:tcPr>
          <w:p>
            <w:r/>
            <w:r>
              <w:rPr>
                <w:b w:val="0"/>
                <w:sz w:val="17"/>
              </w:rPr>
              <w:t>Validate publisher, methodology and publication date.</w:t>
            </w:r>
          </w:p>
        </w:tc>
      </w:tr>
    </w:tbl>
    <w:p>
      <w:r>
        <w:t>Source validation note: The DES site currently lists recent 2025–26 crop-production estimates and 2026–27 MSP material; e-NAM exposes current/historical trade fields including min, modal and max prices, arrivals and traded quantities; data.gov.in provides a large agriculture sector catalogue and APIs. Older datasets remain useful for historical analysis but must not be represented as current observations.</w:t>
      </w:r>
    </w:p>
    <w:p>
      <w:pPr>
        <w:pStyle w:val="Heading1"/>
        <w:spacing w:before="180" w:after="80"/>
      </w:pPr>
      <w:r>
        <w:t>4. Research Questions</w:t>
      </w:r>
    </w:p>
    <w:tbl>
      <w:tblPr>
        <w:tblStyle w:val="TableGrid"/>
        <w:tblW w:type="auto" w:w="0"/>
        <w:tblLook w:firstColumn="1" w:firstRow="1" w:lastColumn="0" w:lastRow="0" w:noHBand="0" w:noVBand="1" w:val="04A0"/>
      </w:tblPr>
      <w:tblGrid>
        <w:gridCol w:w="5112"/>
        <w:gridCol w:w="5112"/>
      </w:tblGrid>
      <w:tr>
        <w:tc>
          <w:tcPr>
            <w:tcW w:type="dxa" w:w="5112"/>
            <w:vAlign w:val="center"/>
            <w:shd w:fill="D9EAF7"/>
          </w:tcPr>
          <w:p>
            <w:r/>
            <w:r>
              <w:rPr>
                <w:b/>
                <w:sz w:val="17"/>
              </w:rPr>
              <w:t>ID</w:t>
            </w:r>
          </w:p>
        </w:tc>
        <w:tc>
          <w:tcPr>
            <w:tcW w:type="dxa" w:w="5112"/>
            <w:vAlign w:val="center"/>
            <w:shd w:fill="D9EAF7"/>
          </w:tcPr>
          <w:p>
            <w:r/>
            <w:r>
              <w:rPr>
                <w:b/>
                <w:sz w:val="17"/>
              </w:rPr>
              <w:t>Research question</w:t>
            </w:r>
          </w:p>
        </w:tc>
      </w:tr>
      <w:tr>
        <w:tc>
          <w:tcPr>
            <w:tcW w:type="dxa" w:w="5112"/>
            <w:vAlign w:val="center"/>
          </w:tcPr>
          <w:p>
            <w:r/>
            <w:r>
              <w:rPr>
                <w:b/>
                <w:sz w:val="17"/>
              </w:rPr>
              <w:t>RQ1</w:t>
            </w:r>
          </w:p>
        </w:tc>
        <w:tc>
          <w:tcPr>
            <w:tcW w:type="dxa" w:w="5112"/>
            <w:vAlign w:val="center"/>
          </w:tcPr>
          <w:p>
            <w:r/>
            <w:r>
              <w:rPr>
                <w:b w:val="0"/>
                <w:sz w:val="17"/>
              </w:rPr>
              <w:t>How have area, production and yield changed for major crops across years, seasons and states?</w:t>
            </w:r>
          </w:p>
        </w:tc>
      </w:tr>
      <w:tr>
        <w:tc>
          <w:tcPr>
            <w:tcW w:type="dxa" w:w="5112"/>
            <w:vAlign w:val="center"/>
          </w:tcPr>
          <w:p>
            <w:r/>
            <w:r>
              <w:rPr>
                <w:b/>
                <w:sz w:val="17"/>
              </w:rPr>
              <w:t>RQ2</w:t>
            </w:r>
          </w:p>
        </w:tc>
        <w:tc>
          <w:tcPr>
            <w:tcW w:type="dxa" w:w="5112"/>
            <w:vAlign w:val="center"/>
          </w:tcPr>
          <w:p>
            <w:r/>
            <w:r>
              <w:rPr>
                <w:b w:val="0"/>
                <w:sz w:val="17"/>
              </w:rPr>
              <w:t>Which crops/states show sustained growth, stagnation or volatility in production and yield?</w:t>
            </w:r>
          </w:p>
        </w:tc>
      </w:tr>
      <w:tr>
        <w:tc>
          <w:tcPr>
            <w:tcW w:type="dxa" w:w="5112"/>
            <w:vAlign w:val="center"/>
          </w:tcPr>
          <w:p>
            <w:r/>
            <w:r>
              <w:rPr>
                <w:b/>
                <w:sz w:val="17"/>
              </w:rPr>
              <w:t>RQ3</w:t>
            </w:r>
          </w:p>
        </w:tc>
        <w:tc>
          <w:tcPr>
            <w:tcW w:type="dxa" w:w="5112"/>
            <w:vAlign w:val="center"/>
          </w:tcPr>
          <w:p>
            <w:r/>
            <w:r>
              <w:rPr>
                <w:b w:val="0"/>
                <w:sz w:val="17"/>
              </w:rPr>
              <w:t>How do mandi arrivals and prices vary by commodity, APMC, state and season?</w:t>
            </w:r>
          </w:p>
        </w:tc>
      </w:tr>
      <w:tr>
        <w:tc>
          <w:tcPr>
            <w:tcW w:type="dxa" w:w="5112"/>
            <w:vAlign w:val="center"/>
          </w:tcPr>
          <w:p>
            <w:r/>
            <w:r>
              <w:rPr>
                <w:b/>
                <w:sz w:val="17"/>
              </w:rPr>
              <w:t>RQ4</w:t>
            </w:r>
          </w:p>
        </w:tc>
        <w:tc>
          <w:tcPr>
            <w:tcW w:type="dxa" w:w="5112"/>
            <w:vAlign w:val="center"/>
          </w:tcPr>
          <w:p>
            <w:r/>
            <w:r>
              <w:rPr>
                <w:b w:val="0"/>
                <w:sz w:val="17"/>
              </w:rPr>
              <w:t>What is the relationship between market arrivals, traded quantity and modal price?</w:t>
            </w:r>
          </w:p>
        </w:tc>
      </w:tr>
      <w:tr>
        <w:tc>
          <w:tcPr>
            <w:tcW w:type="dxa" w:w="5112"/>
            <w:vAlign w:val="center"/>
          </w:tcPr>
          <w:p>
            <w:r/>
            <w:r>
              <w:rPr>
                <w:b/>
                <w:sz w:val="17"/>
              </w:rPr>
              <w:t>RQ5</w:t>
            </w:r>
          </w:p>
        </w:tc>
        <w:tc>
          <w:tcPr>
            <w:tcW w:type="dxa" w:w="5112"/>
            <w:vAlign w:val="center"/>
          </w:tcPr>
          <w:p>
            <w:r/>
            <w:r>
              <w:rPr>
                <w:b w:val="0"/>
                <w:sz w:val="17"/>
              </w:rPr>
              <w:t>Which commodities show the strongest seasonal price volatility?</w:t>
            </w:r>
          </w:p>
        </w:tc>
      </w:tr>
      <w:tr>
        <w:tc>
          <w:tcPr>
            <w:tcW w:type="dxa" w:w="5112"/>
            <w:vAlign w:val="center"/>
          </w:tcPr>
          <w:p>
            <w:r/>
            <w:r>
              <w:rPr>
                <w:b/>
                <w:sz w:val="17"/>
              </w:rPr>
              <w:t>RQ6</w:t>
            </w:r>
          </w:p>
        </w:tc>
        <w:tc>
          <w:tcPr>
            <w:tcW w:type="dxa" w:w="5112"/>
            <w:vAlign w:val="center"/>
          </w:tcPr>
          <w:p>
            <w:r/>
            <w:r>
              <w:rPr>
                <w:b w:val="0"/>
                <w:sz w:val="17"/>
              </w:rPr>
              <w:t>How concentrated is production geographically for selected crops?</w:t>
            </w:r>
          </w:p>
        </w:tc>
      </w:tr>
      <w:tr>
        <w:tc>
          <w:tcPr>
            <w:tcW w:type="dxa" w:w="5112"/>
            <w:vAlign w:val="center"/>
          </w:tcPr>
          <w:p>
            <w:r/>
            <w:r>
              <w:rPr>
                <w:b/>
                <w:sz w:val="17"/>
              </w:rPr>
              <w:t>RQ7</w:t>
            </w:r>
          </w:p>
        </w:tc>
        <w:tc>
          <w:tcPr>
            <w:tcW w:type="dxa" w:w="5112"/>
            <w:vAlign w:val="center"/>
          </w:tcPr>
          <w:p>
            <w:r/>
            <w:r>
              <w:rPr>
                <w:b w:val="0"/>
                <w:sz w:val="17"/>
              </w:rPr>
              <w:t>How do Indian agricultural indicators compare with international benchmarks?</w:t>
            </w:r>
          </w:p>
        </w:tc>
      </w:tr>
      <w:tr>
        <w:tc>
          <w:tcPr>
            <w:tcW w:type="dxa" w:w="5112"/>
            <w:vAlign w:val="center"/>
          </w:tcPr>
          <w:p>
            <w:r/>
            <w:r>
              <w:rPr>
                <w:b/>
                <w:sz w:val="17"/>
              </w:rPr>
              <w:t>RQ8</w:t>
            </w:r>
          </w:p>
        </w:tc>
        <w:tc>
          <w:tcPr>
            <w:tcW w:type="dxa" w:w="5112"/>
            <w:vAlign w:val="center"/>
          </w:tcPr>
          <w:p>
            <w:r/>
            <w:r>
              <w:rPr>
                <w:b w:val="0"/>
                <w:sz w:val="17"/>
              </w:rPr>
              <w:t>What agribusiness/technology developments reported by ICAR and other credible sources may contextualize observed trends?</w:t>
            </w:r>
          </w:p>
        </w:tc>
      </w:tr>
      <w:tr>
        <w:tc>
          <w:tcPr>
            <w:tcW w:type="dxa" w:w="5112"/>
            <w:vAlign w:val="center"/>
          </w:tcPr>
          <w:p>
            <w:r/>
            <w:r>
              <w:rPr>
                <w:b/>
                <w:sz w:val="17"/>
              </w:rPr>
              <w:t>RQ9</w:t>
            </w:r>
          </w:p>
        </w:tc>
        <w:tc>
          <w:tcPr>
            <w:tcW w:type="dxa" w:w="5112"/>
            <w:vAlign w:val="center"/>
          </w:tcPr>
          <w:p>
            <w:r/>
            <w:r>
              <w:rPr>
                <w:b w:val="0"/>
                <w:sz w:val="17"/>
              </w:rPr>
              <w:t>Where do data sources disagree, and can discrepancies be explained by definitions, revisions, coverage or units?</w:t>
            </w:r>
          </w:p>
        </w:tc>
      </w:tr>
      <w:tr>
        <w:tc>
          <w:tcPr>
            <w:tcW w:type="dxa" w:w="5112"/>
            <w:vAlign w:val="center"/>
          </w:tcPr>
          <w:p>
            <w:r/>
            <w:r>
              <w:rPr>
                <w:b/>
                <w:sz w:val="17"/>
              </w:rPr>
              <w:t>RQ10</w:t>
            </w:r>
          </w:p>
        </w:tc>
        <w:tc>
          <w:tcPr>
            <w:tcW w:type="dxa" w:w="5112"/>
            <w:vAlign w:val="center"/>
          </w:tcPr>
          <w:p>
            <w:r/>
            <w:r>
              <w:rPr>
                <w:b w:val="0"/>
                <w:sz w:val="17"/>
              </w:rPr>
              <w:t>Which variables appear promising for later forecasting or predictive modelling, subject to sufficient data quality?</w:t>
            </w:r>
          </w:p>
        </w:tc>
      </w:tr>
    </w:tbl>
    <w:p>
      <w:pPr>
        <w:pStyle w:val="Heading1"/>
        <w:spacing w:before="180" w:after="80"/>
      </w:pPr>
      <w:r>
        <w:t>5. KPI Framework</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7"/>
              </w:rPr>
              <w:t>KPI</w:t>
            </w:r>
          </w:p>
        </w:tc>
        <w:tc>
          <w:tcPr>
            <w:tcW w:type="dxa" w:w="2045"/>
            <w:vAlign w:val="center"/>
            <w:shd w:fill="D9EAF7"/>
          </w:tcPr>
          <w:p>
            <w:r/>
            <w:r>
              <w:rPr>
                <w:b/>
                <w:sz w:val="17"/>
              </w:rPr>
              <w:t>Definition</w:t>
            </w:r>
          </w:p>
        </w:tc>
        <w:tc>
          <w:tcPr>
            <w:tcW w:type="dxa" w:w="2045"/>
            <w:vAlign w:val="center"/>
            <w:shd w:fill="D9EAF7"/>
          </w:tcPr>
          <w:p>
            <w:r/>
            <w:r>
              <w:rPr>
                <w:b/>
                <w:sz w:val="17"/>
              </w:rPr>
              <w:t>Frequency</w:t>
            </w:r>
          </w:p>
        </w:tc>
        <w:tc>
          <w:tcPr>
            <w:tcW w:type="dxa" w:w="2045"/>
            <w:vAlign w:val="center"/>
            <w:shd w:fill="D9EAF7"/>
          </w:tcPr>
          <w:p>
            <w:r/>
            <w:r>
              <w:rPr>
                <w:b/>
                <w:sz w:val="17"/>
              </w:rPr>
              <w:t>Dimensions</w:t>
            </w:r>
          </w:p>
        </w:tc>
        <w:tc>
          <w:tcPr>
            <w:tcW w:type="dxa" w:w="2045"/>
            <w:vAlign w:val="center"/>
            <w:shd w:fill="D9EAF7"/>
          </w:tcPr>
          <w:p>
            <w:r/>
            <w:r>
              <w:rPr>
                <w:b/>
                <w:sz w:val="17"/>
              </w:rPr>
              <w:t>Purpose</w:t>
            </w:r>
          </w:p>
        </w:tc>
      </w:tr>
      <w:tr>
        <w:tc>
          <w:tcPr>
            <w:tcW w:type="dxa" w:w="2045"/>
            <w:vAlign w:val="center"/>
          </w:tcPr>
          <w:p>
            <w:r/>
            <w:r>
              <w:rPr>
                <w:b w:val="0"/>
                <w:sz w:val="17"/>
              </w:rPr>
              <w:t>Crop production</w:t>
            </w:r>
          </w:p>
        </w:tc>
        <w:tc>
          <w:tcPr>
            <w:tcW w:type="dxa" w:w="2045"/>
            <w:vAlign w:val="center"/>
          </w:tcPr>
          <w:p>
            <w:r/>
            <w:r>
              <w:rPr>
                <w:b w:val="0"/>
                <w:sz w:val="17"/>
              </w:rPr>
              <w:t>Production volume (tonnes)</w:t>
            </w:r>
          </w:p>
        </w:tc>
        <w:tc>
          <w:tcPr>
            <w:tcW w:type="dxa" w:w="2045"/>
            <w:vAlign w:val="center"/>
          </w:tcPr>
          <w:p>
            <w:r/>
            <w:r>
              <w:rPr>
                <w:b w:val="0"/>
                <w:sz w:val="17"/>
              </w:rPr>
              <w:t>Annual/seasonal</w:t>
            </w:r>
          </w:p>
        </w:tc>
        <w:tc>
          <w:tcPr>
            <w:tcW w:type="dxa" w:w="2045"/>
            <w:vAlign w:val="center"/>
          </w:tcPr>
          <w:p>
            <w:r/>
            <w:r>
              <w:rPr>
                <w:b w:val="0"/>
                <w:sz w:val="17"/>
              </w:rPr>
              <w:t>Crop, state, district</w:t>
            </w:r>
          </w:p>
        </w:tc>
        <w:tc>
          <w:tcPr>
            <w:tcW w:type="dxa" w:w="2045"/>
            <w:vAlign w:val="center"/>
          </w:tcPr>
          <w:p>
            <w:r/>
            <w:r>
              <w:rPr>
                <w:b w:val="0"/>
                <w:sz w:val="17"/>
              </w:rPr>
              <w:t>Trend and performance</w:t>
            </w:r>
          </w:p>
        </w:tc>
      </w:tr>
      <w:tr>
        <w:tc>
          <w:tcPr>
            <w:tcW w:type="dxa" w:w="2045"/>
            <w:vAlign w:val="center"/>
          </w:tcPr>
          <w:p>
            <w:r/>
            <w:r>
              <w:rPr>
                <w:b w:val="0"/>
                <w:sz w:val="17"/>
              </w:rPr>
              <w:t>Cultivated area</w:t>
            </w:r>
          </w:p>
        </w:tc>
        <w:tc>
          <w:tcPr>
            <w:tcW w:type="dxa" w:w="2045"/>
            <w:vAlign w:val="center"/>
          </w:tcPr>
          <w:p>
            <w:r/>
            <w:r>
              <w:rPr>
                <w:b w:val="0"/>
                <w:sz w:val="17"/>
              </w:rPr>
              <w:t>Area under crop (ha)</w:t>
            </w:r>
          </w:p>
        </w:tc>
        <w:tc>
          <w:tcPr>
            <w:tcW w:type="dxa" w:w="2045"/>
            <w:vAlign w:val="center"/>
          </w:tcPr>
          <w:p>
            <w:r/>
            <w:r>
              <w:rPr>
                <w:b w:val="0"/>
                <w:sz w:val="17"/>
              </w:rPr>
              <w:t>Annual/seasonal</w:t>
            </w:r>
          </w:p>
        </w:tc>
        <w:tc>
          <w:tcPr>
            <w:tcW w:type="dxa" w:w="2045"/>
            <w:vAlign w:val="center"/>
          </w:tcPr>
          <w:p>
            <w:r/>
            <w:r>
              <w:rPr>
                <w:b w:val="0"/>
                <w:sz w:val="17"/>
              </w:rPr>
              <w:t>Crop, geography</w:t>
            </w:r>
          </w:p>
        </w:tc>
        <w:tc>
          <w:tcPr>
            <w:tcW w:type="dxa" w:w="2045"/>
            <w:vAlign w:val="center"/>
          </w:tcPr>
          <w:p>
            <w:r/>
            <w:r>
              <w:rPr>
                <w:b w:val="0"/>
                <w:sz w:val="17"/>
              </w:rPr>
              <w:t>Scale and expansion</w:t>
            </w:r>
          </w:p>
        </w:tc>
      </w:tr>
      <w:tr>
        <w:tc>
          <w:tcPr>
            <w:tcW w:type="dxa" w:w="2045"/>
            <w:vAlign w:val="center"/>
          </w:tcPr>
          <w:p>
            <w:r/>
            <w:r>
              <w:rPr>
                <w:b w:val="0"/>
                <w:sz w:val="17"/>
              </w:rPr>
              <w:t>Yield</w:t>
            </w:r>
          </w:p>
        </w:tc>
        <w:tc>
          <w:tcPr>
            <w:tcW w:type="dxa" w:w="2045"/>
            <w:vAlign w:val="center"/>
          </w:tcPr>
          <w:p>
            <w:r/>
            <w:r>
              <w:rPr>
                <w:b w:val="0"/>
                <w:sz w:val="17"/>
              </w:rPr>
              <w:t>Production ÷ area (t/ha)</w:t>
            </w:r>
          </w:p>
        </w:tc>
        <w:tc>
          <w:tcPr>
            <w:tcW w:type="dxa" w:w="2045"/>
            <w:vAlign w:val="center"/>
          </w:tcPr>
          <w:p>
            <w:r/>
            <w:r>
              <w:rPr>
                <w:b w:val="0"/>
                <w:sz w:val="17"/>
              </w:rPr>
              <w:t>Annual/seasonal</w:t>
            </w:r>
          </w:p>
        </w:tc>
        <w:tc>
          <w:tcPr>
            <w:tcW w:type="dxa" w:w="2045"/>
            <w:vAlign w:val="center"/>
          </w:tcPr>
          <w:p>
            <w:r/>
            <w:r>
              <w:rPr>
                <w:b w:val="0"/>
                <w:sz w:val="17"/>
              </w:rPr>
              <w:t>Crop, geography</w:t>
            </w:r>
          </w:p>
        </w:tc>
        <w:tc>
          <w:tcPr>
            <w:tcW w:type="dxa" w:w="2045"/>
            <w:vAlign w:val="center"/>
          </w:tcPr>
          <w:p>
            <w:r/>
            <w:r>
              <w:rPr>
                <w:b w:val="0"/>
                <w:sz w:val="17"/>
              </w:rPr>
              <w:t>Productivity</w:t>
            </w:r>
          </w:p>
        </w:tc>
      </w:tr>
      <w:tr>
        <w:tc>
          <w:tcPr>
            <w:tcW w:type="dxa" w:w="2045"/>
            <w:vAlign w:val="center"/>
          </w:tcPr>
          <w:p>
            <w:r/>
            <w:r>
              <w:rPr>
                <w:b w:val="0"/>
                <w:sz w:val="17"/>
              </w:rPr>
              <w:t>YoY growth</w:t>
            </w:r>
          </w:p>
        </w:tc>
        <w:tc>
          <w:tcPr>
            <w:tcW w:type="dxa" w:w="2045"/>
            <w:vAlign w:val="center"/>
          </w:tcPr>
          <w:p>
            <w:r/>
            <w:r>
              <w:rPr>
                <w:b w:val="0"/>
                <w:sz w:val="17"/>
              </w:rPr>
              <w:t>(Current − prior) / prior × 100</w:t>
            </w:r>
          </w:p>
        </w:tc>
        <w:tc>
          <w:tcPr>
            <w:tcW w:type="dxa" w:w="2045"/>
            <w:vAlign w:val="center"/>
          </w:tcPr>
          <w:p>
            <w:r/>
            <w:r>
              <w:rPr>
                <w:b w:val="0"/>
                <w:sz w:val="17"/>
              </w:rPr>
              <w:t>Annual</w:t>
            </w:r>
          </w:p>
        </w:tc>
        <w:tc>
          <w:tcPr>
            <w:tcW w:type="dxa" w:w="2045"/>
            <w:vAlign w:val="center"/>
          </w:tcPr>
          <w:p>
            <w:r/>
            <w:r>
              <w:rPr>
                <w:b w:val="0"/>
                <w:sz w:val="17"/>
              </w:rPr>
              <w:t>Crop/geography</w:t>
            </w:r>
          </w:p>
        </w:tc>
        <w:tc>
          <w:tcPr>
            <w:tcW w:type="dxa" w:w="2045"/>
            <w:vAlign w:val="center"/>
          </w:tcPr>
          <w:p>
            <w:r/>
            <w:r>
              <w:rPr>
                <w:b w:val="0"/>
                <w:sz w:val="17"/>
              </w:rPr>
              <w:t>Growth</w:t>
            </w:r>
          </w:p>
        </w:tc>
      </w:tr>
      <w:tr>
        <w:tc>
          <w:tcPr>
            <w:tcW w:type="dxa" w:w="2045"/>
            <w:vAlign w:val="center"/>
          </w:tcPr>
          <w:p>
            <w:r/>
            <w:r>
              <w:rPr>
                <w:b w:val="0"/>
                <w:sz w:val="17"/>
              </w:rPr>
              <w:t>CAGR</w:t>
            </w:r>
          </w:p>
        </w:tc>
        <w:tc>
          <w:tcPr>
            <w:tcW w:type="dxa" w:w="2045"/>
            <w:vAlign w:val="center"/>
          </w:tcPr>
          <w:p>
            <w:r/>
            <w:r>
              <w:rPr>
                <w:b w:val="0"/>
                <w:sz w:val="17"/>
              </w:rPr>
              <w:t>Compound annual growth rate</w:t>
            </w:r>
          </w:p>
        </w:tc>
        <w:tc>
          <w:tcPr>
            <w:tcW w:type="dxa" w:w="2045"/>
            <w:vAlign w:val="center"/>
          </w:tcPr>
          <w:p>
            <w:r/>
            <w:r>
              <w:rPr>
                <w:b w:val="0"/>
                <w:sz w:val="17"/>
              </w:rPr>
              <w:t>Multi-year</w:t>
            </w:r>
          </w:p>
        </w:tc>
        <w:tc>
          <w:tcPr>
            <w:tcW w:type="dxa" w:w="2045"/>
            <w:vAlign w:val="center"/>
          </w:tcPr>
          <w:p>
            <w:r/>
            <w:r>
              <w:rPr>
                <w:b w:val="0"/>
                <w:sz w:val="17"/>
              </w:rPr>
              <w:t>Crop/geography</w:t>
            </w:r>
          </w:p>
        </w:tc>
        <w:tc>
          <w:tcPr>
            <w:tcW w:type="dxa" w:w="2045"/>
            <w:vAlign w:val="center"/>
          </w:tcPr>
          <w:p>
            <w:r/>
            <w:r>
              <w:rPr>
                <w:b w:val="0"/>
                <w:sz w:val="17"/>
              </w:rPr>
              <w:t>Structural trend</w:t>
            </w:r>
          </w:p>
        </w:tc>
      </w:tr>
      <w:tr>
        <w:tc>
          <w:tcPr>
            <w:tcW w:type="dxa" w:w="2045"/>
            <w:vAlign w:val="center"/>
          </w:tcPr>
          <w:p>
            <w:r/>
            <w:r>
              <w:rPr>
                <w:b w:val="0"/>
                <w:sz w:val="17"/>
              </w:rPr>
              <w:t>Market price</w:t>
            </w:r>
          </w:p>
        </w:tc>
        <w:tc>
          <w:tcPr>
            <w:tcW w:type="dxa" w:w="2045"/>
            <w:vAlign w:val="center"/>
          </w:tcPr>
          <w:p>
            <w:r/>
            <w:r>
              <w:rPr>
                <w:b w:val="0"/>
                <w:sz w:val="17"/>
              </w:rPr>
              <w:t>Min / modal / max price</w:t>
            </w:r>
          </w:p>
        </w:tc>
        <w:tc>
          <w:tcPr>
            <w:tcW w:type="dxa" w:w="2045"/>
            <w:vAlign w:val="center"/>
          </w:tcPr>
          <w:p>
            <w:r/>
            <w:r>
              <w:rPr>
                <w:b w:val="0"/>
                <w:sz w:val="17"/>
              </w:rPr>
              <w:t>Daily/periodic</w:t>
            </w:r>
          </w:p>
        </w:tc>
        <w:tc>
          <w:tcPr>
            <w:tcW w:type="dxa" w:w="2045"/>
            <w:vAlign w:val="center"/>
          </w:tcPr>
          <w:p>
            <w:r/>
            <w:r>
              <w:rPr>
                <w:b w:val="0"/>
                <w:sz w:val="17"/>
              </w:rPr>
              <w:t>Commodity/APMC</w:t>
            </w:r>
          </w:p>
        </w:tc>
        <w:tc>
          <w:tcPr>
            <w:tcW w:type="dxa" w:w="2045"/>
            <w:vAlign w:val="center"/>
          </w:tcPr>
          <w:p>
            <w:r/>
            <w:r>
              <w:rPr>
                <w:b w:val="0"/>
                <w:sz w:val="17"/>
              </w:rPr>
              <w:t>Market level</w:t>
            </w:r>
          </w:p>
        </w:tc>
      </w:tr>
      <w:tr>
        <w:tc>
          <w:tcPr>
            <w:tcW w:type="dxa" w:w="2045"/>
            <w:vAlign w:val="center"/>
          </w:tcPr>
          <w:p>
            <w:r/>
            <w:r>
              <w:rPr>
                <w:b w:val="0"/>
                <w:sz w:val="17"/>
              </w:rPr>
              <w:t>Price volatility</w:t>
            </w:r>
          </w:p>
        </w:tc>
        <w:tc>
          <w:tcPr>
            <w:tcW w:type="dxa" w:w="2045"/>
            <w:vAlign w:val="center"/>
          </w:tcPr>
          <w:p>
            <w:r/>
            <w:r>
              <w:rPr>
                <w:b w:val="0"/>
                <w:sz w:val="17"/>
              </w:rPr>
              <w:t>Std. dev., coefficient of variation, rolling volatility</w:t>
            </w:r>
          </w:p>
        </w:tc>
        <w:tc>
          <w:tcPr>
            <w:tcW w:type="dxa" w:w="2045"/>
            <w:vAlign w:val="center"/>
          </w:tcPr>
          <w:p>
            <w:r/>
            <w:r>
              <w:rPr>
                <w:b w:val="0"/>
                <w:sz w:val="17"/>
              </w:rPr>
              <w:t>Daily/weekly/monthly</w:t>
            </w:r>
          </w:p>
        </w:tc>
        <w:tc>
          <w:tcPr>
            <w:tcW w:type="dxa" w:w="2045"/>
            <w:vAlign w:val="center"/>
          </w:tcPr>
          <w:p>
            <w:r/>
            <w:r>
              <w:rPr>
                <w:b w:val="0"/>
                <w:sz w:val="17"/>
              </w:rPr>
              <w:t>Commodity/APMC</w:t>
            </w:r>
          </w:p>
        </w:tc>
        <w:tc>
          <w:tcPr>
            <w:tcW w:type="dxa" w:w="2045"/>
            <w:vAlign w:val="center"/>
          </w:tcPr>
          <w:p>
            <w:r/>
            <w:r>
              <w:rPr>
                <w:b w:val="0"/>
                <w:sz w:val="17"/>
              </w:rPr>
              <w:t>Risk/instability</w:t>
            </w:r>
          </w:p>
        </w:tc>
      </w:tr>
      <w:tr>
        <w:tc>
          <w:tcPr>
            <w:tcW w:type="dxa" w:w="2045"/>
            <w:vAlign w:val="center"/>
          </w:tcPr>
          <w:p>
            <w:r/>
            <w:r>
              <w:rPr>
                <w:b w:val="0"/>
                <w:sz w:val="17"/>
              </w:rPr>
              <w:t>Arrivals</w:t>
            </w:r>
          </w:p>
        </w:tc>
        <w:tc>
          <w:tcPr>
            <w:tcW w:type="dxa" w:w="2045"/>
            <w:vAlign w:val="center"/>
          </w:tcPr>
          <w:p>
            <w:r/>
            <w:r>
              <w:rPr>
                <w:b w:val="0"/>
                <w:sz w:val="17"/>
              </w:rPr>
              <w:t>Commodity arrival quantity</w:t>
            </w:r>
          </w:p>
        </w:tc>
        <w:tc>
          <w:tcPr>
            <w:tcW w:type="dxa" w:w="2045"/>
            <w:vAlign w:val="center"/>
          </w:tcPr>
          <w:p>
            <w:r/>
            <w:r>
              <w:rPr>
                <w:b w:val="0"/>
                <w:sz w:val="17"/>
              </w:rPr>
              <w:t>Daily/periodic</w:t>
            </w:r>
          </w:p>
        </w:tc>
        <w:tc>
          <w:tcPr>
            <w:tcW w:type="dxa" w:w="2045"/>
            <w:vAlign w:val="center"/>
          </w:tcPr>
          <w:p>
            <w:r/>
            <w:r>
              <w:rPr>
                <w:b w:val="0"/>
                <w:sz w:val="17"/>
              </w:rPr>
              <w:t>Commodity/APMC</w:t>
            </w:r>
          </w:p>
        </w:tc>
        <w:tc>
          <w:tcPr>
            <w:tcW w:type="dxa" w:w="2045"/>
            <w:vAlign w:val="center"/>
          </w:tcPr>
          <w:p>
            <w:r/>
            <w:r>
              <w:rPr>
                <w:b w:val="0"/>
                <w:sz w:val="17"/>
              </w:rPr>
              <w:t>Supply flow</w:t>
            </w:r>
          </w:p>
        </w:tc>
      </w:tr>
      <w:tr>
        <w:tc>
          <w:tcPr>
            <w:tcW w:type="dxa" w:w="2045"/>
            <w:vAlign w:val="center"/>
          </w:tcPr>
          <w:p>
            <w:r/>
            <w:r>
              <w:rPr>
                <w:b w:val="0"/>
                <w:sz w:val="17"/>
              </w:rPr>
              <w:t>Traded quantity</w:t>
            </w:r>
          </w:p>
        </w:tc>
        <w:tc>
          <w:tcPr>
            <w:tcW w:type="dxa" w:w="2045"/>
            <w:vAlign w:val="center"/>
          </w:tcPr>
          <w:p>
            <w:r/>
            <w:r>
              <w:rPr>
                <w:b w:val="0"/>
                <w:sz w:val="17"/>
              </w:rPr>
              <w:t>Quantity traded/sold</w:t>
            </w:r>
          </w:p>
        </w:tc>
        <w:tc>
          <w:tcPr>
            <w:tcW w:type="dxa" w:w="2045"/>
            <w:vAlign w:val="center"/>
          </w:tcPr>
          <w:p>
            <w:r/>
            <w:r>
              <w:rPr>
                <w:b w:val="0"/>
                <w:sz w:val="17"/>
              </w:rPr>
              <w:t>Daily/periodic</w:t>
            </w:r>
          </w:p>
        </w:tc>
        <w:tc>
          <w:tcPr>
            <w:tcW w:type="dxa" w:w="2045"/>
            <w:vAlign w:val="center"/>
          </w:tcPr>
          <w:p>
            <w:r/>
            <w:r>
              <w:rPr>
                <w:b w:val="0"/>
                <w:sz w:val="17"/>
              </w:rPr>
              <w:t>Commodity/APMC</w:t>
            </w:r>
          </w:p>
        </w:tc>
        <w:tc>
          <w:tcPr>
            <w:tcW w:type="dxa" w:w="2045"/>
            <w:vAlign w:val="center"/>
          </w:tcPr>
          <w:p>
            <w:r/>
            <w:r>
              <w:rPr>
                <w:b w:val="0"/>
                <w:sz w:val="17"/>
              </w:rPr>
              <w:t>Market activity</w:t>
            </w:r>
          </w:p>
        </w:tc>
      </w:tr>
      <w:tr>
        <w:tc>
          <w:tcPr>
            <w:tcW w:type="dxa" w:w="2045"/>
            <w:vAlign w:val="center"/>
          </w:tcPr>
          <w:p>
            <w:r/>
            <w:r>
              <w:rPr>
                <w:b w:val="0"/>
                <w:sz w:val="17"/>
              </w:rPr>
              <w:t>Price spread</w:t>
            </w:r>
          </w:p>
        </w:tc>
        <w:tc>
          <w:tcPr>
            <w:tcW w:type="dxa" w:w="2045"/>
            <w:vAlign w:val="center"/>
          </w:tcPr>
          <w:p>
            <w:r/>
            <w:r>
              <w:rPr>
                <w:b w:val="0"/>
                <w:sz w:val="17"/>
              </w:rPr>
              <w:t>Max − min; modal vs benchmark</w:t>
            </w:r>
          </w:p>
        </w:tc>
        <w:tc>
          <w:tcPr>
            <w:tcW w:type="dxa" w:w="2045"/>
            <w:vAlign w:val="center"/>
          </w:tcPr>
          <w:p>
            <w:r/>
            <w:r>
              <w:rPr>
                <w:b w:val="0"/>
                <w:sz w:val="17"/>
              </w:rPr>
              <w:t>Daily/periodic</w:t>
            </w:r>
          </w:p>
        </w:tc>
        <w:tc>
          <w:tcPr>
            <w:tcW w:type="dxa" w:w="2045"/>
            <w:vAlign w:val="center"/>
          </w:tcPr>
          <w:p>
            <w:r/>
            <w:r>
              <w:rPr>
                <w:b w:val="0"/>
                <w:sz w:val="17"/>
              </w:rPr>
              <w:t>Commodity/APMC</w:t>
            </w:r>
          </w:p>
        </w:tc>
        <w:tc>
          <w:tcPr>
            <w:tcW w:type="dxa" w:w="2045"/>
            <w:vAlign w:val="center"/>
          </w:tcPr>
          <w:p>
            <w:r/>
            <w:r>
              <w:rPr>
                <w:b w:val="0"/>
                <w:sz w:val="17"/>
              </w:rPr>
              <w:t>Dispersion</w:t>
            </w:r>
          </w:p>
        </w:tc>
      </w:tr>
      <w:tr>
        <w:tc>
          <w:tcPr>
            <w:tcW w:type="dxa" w:w="2045"/>
            <w:vAlign w:val="center"/>
          </w:tcPr>
          <w:p>
            <w:r/>
            <w:r>
              <w:rPr>
                <w:b w:val="0"/>
                <w:sz w:val="17"/>
              </w:rPr>
              <w:t>Production concentration</w:t>
            </w:r>
          </w:p>
        </w:tc>
        <w:tc>
          <w:tcPr>
            <w:tcW w:type="dxa" w:w="2045"/>
            <w:vAlign w:val="center"/>
          </w:tcPr>
          <w:p>
            <w:r/>
            <w:r>
              <w:rPr>
                <w:b w:val="0"/>
                <w:sz w:val="17"/>
              </w:rPr>
              <w:t>Top-state share / HHI where appropriate</w:t>
            </w:r>
          </w:p>
        </w:tc>
        <w:tc>
          <w:tcPr>
            <w:tcW w:type="dxa" w:w="2045"/>
            <w:vAlign w:val="center"/>
          </w:tcPr>
          <w:p>
            <w:r/>
            <w:r>
              <w:rPr>
                <w:b w:val="0"/>
                <w:sz w:val="17"/>
              </w:rPr>
              <w:t>Annual</w:t>
            </w:r>
          </w:p>
        </w:tc>
        <w:tc>
          <w:tcPr>
            <w:tcW w:type="dxa" w:w="2045"/>
            <w:vAlign w:val="center"/>
          </w:tcPr>
          <w:p>
            <w:r/>
            <w:r>
              <w:rPr>
                <w:b w:val="0"/>
                <w:sz w:val="17"/>
              </w:rPr>
              <w:t>Crop/geography</w:t>
            </w:r>
          </w:p>
        </w:tc>
        <w:tc>
          <w:tcPr>
            <w:tcW w:type="dxa" w:w="2045"/>
            <w:vAlign w:val="center"/>
          </w:tcPr>
          <w:p>
            <w:r/>
            <w:r>
              <w:rPr>
                <w:b w:val="0"/>
                <w:sz w:val="17"/>
              </w:rPr>
              <w:t>Geographic concentration</w:t>
            </w:r>
          </w:p>
        </w:tc>
      </w:tr>
      <w:tr>
        <w:tc>
          <w:tcPr>
            <w:tcW w:type="dxa" w:w="2045"/>
            <w:vAlign w:val="center"/>
          </w:tcPr>
          <w:p>
            <w:r/>
            <w:r>
              <w:rPr>
                <w:b w:val="0"/>
                <w:sz w:val="17"/>
              </w:rPr>
              <w:t>Agriculture value added</w:t>
            </w:r>
          </w:p>
        </w:tc>
        <w:tc>
          <w:tcPr>
            <w:tcW w:type="dxa" w:w="2045"/>
            <w:vAlign w:val="center"/>
          </w:tcPr>
          <w:p>
            <w:r/>
            <w:r>
              <w:rPr>
                <w:b w:val="0"/>
                <w:sz w:val="17"/>
              </w:rPr>
              <w:t>Current/constant value; % GDP</w:t>
            </w:r>
          </w:p>
        </w:tc>
        <w:tc>
          <w:tcPr>
            <w:tcW w:type="dxa" w:w="2045"/>
            <w:vAlign w:val="center"/>
          </w:tcPr>
          <w:p>
            <w:r/>
            <w:r>
              <w:rPr>
                <w:b w:val="0"/>
                <w:sz w:val="17"/>
              </w:rPr>
              <w:t>Annual</w:t>
            </w:r>
          </w:p>
        </w:tc>
        <w:tc>
          <w:tcPr>
            <w:tcW w:type="dxa" w:w="2045"/>
            <w:vAlign w:val="center"/>
          </w:tcPr>
          <w:p>
            <w:r/>
            <w:r>
              <w:rPr>
                <w:b w:val="0"/>
                <w:sz w:val="17"/>
              </w:rPr>
              <w:t>India / comparator countries</w:t>
            </w:r>
          </w:p>
        </w:tc>
        <w:tc>
          <w:tcPr>
            <w:tcW w:type="dxa" w:w="2045"/>
            <w:vAlign w:val="center"/>
          </w:tcPr>
          <w:p>
            <w:r/>
            <w:r>
              <w:rPr>
                <w:b w:val="0"/>
                <w:sz w:val="17"/>
              </w:rPr>
              <w:t>Macro context</w:t>
            </w:r>
          </w:p>
        </w:tc>
      </w:tr>
    </w:tbl>
    <w:p>
      <w:pPr>
        <w:pStyle w:val="Heading1"/>
        <w:spacing w:before="180" w:after="80"/>
      </w:pPr>
      <w:r>
        <w:t>6. Methodology</w:t>
      </w:r>
    </w:p>
    <w:p>
      <w:pPr>
        <w:pStyle w:val="Heading2"/>
        <w:spacing w:before="180" w:after="80"/>
      </w:pPr>
      <w:r>
        <w:t>6.1 Phase A — Discovery &amp; Source Validation</w:t>
      </w:r>
    </w:p>
    <w:p>
      <w:pPr>
        <w:pStyle w:val="ListNumber"/>
      </w:pPr>
      <w:r>
        <w:t>Create a source register with owner, URL, access date, coverage, granularity, frequency, format and licensing/usage notes.</w:t>
      </w:r>
    </w:p>
    <w:p>
      <w:pPr>
        <w:pStyle w:val="ListNumber"/>
      </w:pPr>
      <w:r>
        <w:t>Classify each source as primary official, official market, international, research or contextual.</w:t>
      </w:r>
    </w:p>
    <w:p>
      <w:pPr>
        <w:pStyle w:val="ListNumber"/>
      </w:pPr>
      <w:r>
        <w:t>Record the exact dataset/report title and version/date used so the analysis remains reproducible.</w:t>
      </w:r>
    </w:p>
    <w:p>
      <w:pPr>
        <w:pStyle w:val="ListNumber"/>
      </w:pPr>
      <w:r>
        <w:t>Check whether data are revised, provisional, estimated or final and preserve that status.</w:t>
      </w:r>
    </w:p>
    <w:p>
      <w:pPr>
        <w:pStyle w:val="Heading2"/>
        <w:spacing w:before="180" w:after="80"/>
      </w:pPr>
      <w:r>
        <w:t>6.2 Phase B — Data Extraction</w:t>
      </w:r>
    </w:p>
    <w:p>
      <w:pPr>
        <w:pStyle w:val="ListBullet"/>
      </w:pPr>
      <w:r>
        <w:t>Prefer API/CSV/XLS downloads where available; use HTML tables or PDF extraction only when machine-readable alternatives are unavailable.</w:t>
      </w:r>
    </w:p>
    <w:p>
      <w:pPr>
        <w:pStyle w:val="ListBullet"/>
      </w:pPr>
      <w:r>
        <w:t>Store raw files unchanged in a raw_data directory and keep processed copies separate.</w:t>
      </w:r>
    </w:p>
    <w:p>
      <w:pPr>
        <w:pStyle w:val="ListBullet"/>
      </w:pPr>
      <w:r>
        <w:t>Use Python (pandas), SQL where useful, and spreadsheet tools for quick inspection.</w:t>
      </w:r>
    </w:p>
    <w:p>
      <w:pPr>
        <w:pStyle w:val="ListBullet"/>
      </w:pPr>
      <w:r>
        <w:t>Create a data dictionary before transformation.</w:t>
      </w:r>
    </w:p>
    <w:p>
      <w:pPr>
        <w:pStyle w:val="Heading2"/>
        <w:spacing w:before="180" w:after="80"/>
      </w:pPr>
      <w:r>
        <w:t>6.3 Phase C — Data Cleaning &amp; Quality Assurance</w:t>
      </w:r>
    </w:p>
    <w:p>
      <w:pPr>
        <w:pStyle w:val="ListBullet"/>
      </w:pPr>
      <w:r>
        <w:t>Standardize column names, data types, date formats, crop names, state/APMC names and units.</w:t>
      </w:r>
    </w:p>
    <w:p>
      <w:pPr>
        <w:pStyle w:val="ListBullet"/>
      </w:pPr>
      <w:r>
        <w:t>Check duplicates using natural keys such as date + geography + commodity + market.</w:t>
      </w:r>
    </w:p>
    <w:p>
      <w:pPr>
        <w:pStyle w:val="ListBullet"/>
      </w:pPr>
      <w:r>
        <w:t>Identify missing, zero, negative and implausible values; do not automatically convert missing to zero.</w:t>
      </w:r>
    </w:p>
    <w:p>
      <w:pPr>
        <w:pStyle w:val="ListBullet"/>
      </w:pPr>
      <w:r>
        <w:t>Detect outliers using IQR/z-score/rolling rules and investigate whether they represent real market events or errors.</w:t>
      </w:r>
    </w:p>
    <w:p>
      <w:pPr>
        <w:pStyle w:val="ListBullet"/>
      </w:pPr>
      <w:r>
        <w:t>Reconcile tonnes/quintals/kg, hectares and currency units; document every conversion.</w:t>
      </w:r>
    </w:p>
    <w:p>
      <w:pPr>
        <w:pStyle w:val="ListBullet"/>
      </w:pPr>
      <w:r>
        <w:t>Check temporal continuity and season labels (Kharif/Rabi/other) before aggregating.</w:t>
      </w:r>
    </w:p>
    <w:p>
      <w:pPr>
        <w:pStyle w:val="ListBullet"/>
      </w:pPr>
      <w:r>
        <w:t>Validate selected observations against the original source and perform cross-source checks where definitions overlap.</w:t>
      </w:r>
    </w:p>
    <w:p>
      <w:pPr>
        <w:pStyle w:val="Heading2"/>
        <w:spacing w:before="180" w:after="80"/>
      </w:pPr>
      <w:r>
        <w:t>6.4 Phase D — Exploratory &amp; Statistical Analysis</w:t>
      </w:r>
    </w:p>
    <w:p>
      <w:pPr>
        <w:pStyle w:val="ListBullet"/>
      </w:pPr>
      <w:r>
        <w:t>Descriptive statistics: count, mean, median, minimum, maximum, standard deviation and coefficient of variation.</w:t>
      </w:r>
    </w:p>
    <w:p>
      <w:pPr>
        <w:pStyle w:val="ListBullet"/>
      </w:pPr>
      <w:r>
        <w:t>Trend analysis: YoY growth, CAGR, rolling averages and indexed series.</w:t>
      </w:r>
    </w:p>
    <w:p>
      <w:pPr>
        <w:pStyle w:val="ListBullet"/>
      </w:pPr>
      <w:r>
        <w:t>Comparative analysis: crop/state/APMC tables with descriptive interpretation.</w:t>
      </w:r>
    </w:p>
    <w:p>
      <w:pPr>
        <w:pStyle w:val="ListBullet"/>
      </w:pPr>
      <w:r>
        <w:t>Seasonality: monthly/seasonal decomposition where sufficient time-series depth exists.</w:t>
      </w:r>
    </w:p>
    <w:p>
      <w:pPr>
        <w:pStyle w:val="ListBullet"/>
      </w:pPr>
      <w:r>
        <w:t>Market analysis: price-arrival relationships, spreads and volatility.</w:t>
      </w:r>
    </w:p>
    <w:p>
      <w:pPr>
        <w:pStyle w:val="ListBullet"/>
      </w:pPr>
      <w:r>
        <w:t>Geographic comparison: state/district maps if geographic boundaries and identifiers are consistently available.</w:t>
      </w:r>
    </w:p>
    <w:p>
      <w:pPr>
        <w:pStyle w:val="ListBullet"/>
      </w:pPr>
      <w:r>
        <w:t>Correlation analysis as a screening tool; treat correlation as non-causal.</w:t>
      </w:r>
    </w:p>
    <w:p>
      <w:pPr>
        <w:pStyle w:val="ListBullet"/>
      </w:pPr>
      <w:r>
        <w:t>Optional forecasting in later weeks: baseline moving average/naive models, then statistical or ML models if sufficient observations and validation data exist.</w:t>
      </w:r>
    </w:p>
    <w:p>
      <w:pPr>
        <w:pStyle w:val="Heading2"/>
        <w:spacing w:before="180" w:after="80"/>
      </w:pPr>
      <w:r>
        <w:t>6.5 Phase E — Reporting</w:t>
      </w:r>
    </w:p>
    <w:p>
      <w:pPr>
        <w:pStyle w:val="ListBullet"/>
      </w:pPr>
      <w:r>
        <w:t>Produce an analytical dataset with a clear data dictionary.</w:t>
      </w:r>
    </w:p>
    <w:p>
      <w:pPr>
        <w:pStyle w:val="ListBullet"/>
      </w:pPr>
      <w:r>
        <w:t>Create charts that directly answer each research question.</w:t>
      </w:r>
    </w:p>
    <w:p>
      <w:pPr>
        <w:pStyle w:val="ListBullet"/>
      </w:pPr>
      <w:r>
        <w:t>Maintain a methodology/readme file and source citation register.</w:t>
      </w:r>
    </w:p>
    <w:p>
      <w:pPr>
        <w:pStyle w:val="ListBullet"/>
      </w:pPr>
      <w:r>
        <w:t>Present limitations beside findings rather than hiding them in an appendix.</w:t>
      </w:r>
    </w:p>
    <w:p>
      <w:pPr>
        <w:pStyle w:val="Heading1"/>
        <w:spacing w:before="180" w:after="80"/>
      </w:pPr>
      <w:r>
        <w:t>7. Proposed Analytical Outputs</w:t>
      </w:r>
    </w:p>
    <w:p>
      <w:pPr>
        <w:pStyle w:val="ListBullet"/>
      </w:pPr>
      <w:r>
        <w:t>Agriculture Data Source Register</w:t>
      </w:r>
    </w:p>
    <w:p>
      <w:pPr>
        <w:pStyle w:val="ListBullet"/>
      </w:pPr>
      <w:r>
        <w:t>Clean crop production dataset</w:t>
      </w:r>
    </w:p>
    <w:p>
      <w:pPr>
        <w:pStyle w:val="ListBullet"/>
      </w:pPr>
      <w:r>
        <w:t>Clean market price/arrival dataset</w:t>
      </w:r>
    </w:p>
    <w:p>
      <w:pPr>
        <w:pStyle w:val="ListBullet"/>
      </w:pPr>
      <w:r>
        <w:t>KPI dictionary</w:t>
      </w:r>
    </w:p>
    <w:p>
      <w:pPr>
        <w:pStyle w:val="ListBullet"/>
      </w:pPr>
      <w:r>
        <w:t>Data-quality report</w:t>
      </w:r>
    </w:p>
    <w:p>
      <w:pPr>
        <w:pStyle w:val="ListBullet"/>
      </w:pPr>
      <w:r>
        <w:t>Crop production trend dashboard or notebook</w:t>
      </w:r>
    </w:p>
    <w:p>
      <w:pPr>
        <w:pStyle w:val="ListBullet"/>
      </w:pPr>
      <w:r>
        <w:t>Commodity price/arrival dashboard or notebook</w:t>
      </w:r>
    </w:p>
    <w:p>
      <w:pPr>
        <w:pStyle w:val="ListBullet"/>
      </w:pPr>
      <w:r>
        <w:t>Research findings memo with source-backed observations</w:t>
      </w:r>
    </w:p>
    <w:p>
      <w:pPr>
        <w:pStyle w:val="ListBullet"/>
      </w:pPr>
      <w:r>
        <w:t>Optional forecasting prototype after data sufficiency is confirmed</w:t>
      </w:r>
    </w:p>
    <w:p>
      <w:pPr>
        <w:pStyle w:val="Heading1"/>
        <w:spacing w:before="180" w:after="80"/>
      </w:pPr>
      <w:r>
        <w:t>8. 34-Hour Week 1 Timeline</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7"/>
              </w:rPr>
              <w:t>Phase</w:t>
            </w:r>
          </w:p>
        </w:tc>
        <w:tc>
          <w:tcPr>
            <w:tcW w:type="dxa" w:w="2045"/>
            <w:vAlign w:val="center"/>
            <w:shd w:fill="D9EAF7"/>
          </w:tcPr>
          <w:p>
            <w:r/>
            <w:r>
              <w:rPr>
                <w:b/>
                <w:sz w:val="17"/>
              </w:rPr>
              <w:t>Workstream</w:t>
            </w:r>
          </w:p>
        </w:tc>
        <w:tc>
          <w:tcPr>
            <w:tcW w:type="dxa" w:w="2045"/>
            <w:vAlign w:val="center"/>
            <w:shd w:fill="D9EAF7"/>
          </w:tcPr>
          <w:p>
            <w:r/>
            <w:r>
              <w:rPr>
                <w:b/>
                <w:sz w:val="17"/>
              </w:rPr>
              <w:t>Hours</w:t>
            </w:r>
          </w:p>
        </w:tc>
        <w:tc>
          <w:tcPr>
            <w:tcW w:type="dxa" w:w="2045"/>
            <w:vAlign w:val="center"/>
            <w:shd w:fill="D9EAF7"/>
          </w:tcPr>
          <w:p>
            <w:r/>
            <w:r>
              <w:rPr>
                <w:b/>
                <w:sz w:val="17"/>
              </w:rPr>
              <w:t>Deliverable</w:t>
            </w:r>
          </w:p>
        </w:tc>
        <w:tc>
          <w:tcPr>
            <w:tcW w:type="dxa" w:w="2045"/>
            <w:vAlign w:val="center"/>
            <w:shd w:fill="D9EAF7"/>
          </w:tcPr>
          <w:p>
            <w:r/>
            <w:r>
              <w:rPr>
                <w:b/>
                <w:sz w:val="17"/>
              </w:rPr>
              <w:t>Milestone</w:t>
            </w:r>
          </w:p>
        </w:tc>
      </w:tr>
      <w:tr>
        <w:tc>
          <w:tcPr>
            <w:tcW w:type="dxa" w:w="2045"/>
            <w:vAlign w:val="center"/>
          </w:tcPr>
          <w:p>
            <w:r/>
            <w:r>
              <w:rPr>
                <w:b w:val="0"/>
                <w:sz w:val="17"/>
              </w:rPr>
              <w:t>1</w:t>
            </w:r>
          </w:p>
        </w:tc>
        <w:tc>
          <w:tcPr>
            <w:tcW w:type="dxa" w:w="2045"/>
            <w:vAlign w:val="center"/>
          </w:tcPr>
          <w:p>
            <w:r/>
            <w:r>
              <w:rPr>
                <w:b w:val="0"/>
                <w:sz w:val="17"/>
              </w:rPr>
              <w:t>Scope &amp; research framing</w:t>
            </w:r>
          </w:p>
        </w:tc>
        <w:tc>
          <w:tcPr>
            <w:tcW w:type="dxa" w:w="2045"/>
            <w:vAlign w:val="center"/>
          </w:tcPr>
          <w:p>
            <w:r/>
            <w:r>
              <w:rPr>
                <w:b w:val="0"/>
                <w:sz w:val="17"/>
              </w:rPr>
              <w:t>3</w:t>
            </w:r>
          </w:p>
        </w:tc>
        <w:tc>
          <w:tcPr>
            <w:tcW w:type="dxa" w:w="2045"/>
            <w:vAlign w:val="center"/>
          </w:tcPr>
          <w:p>
            <w:r/>
            <w:r>
              <w:rPr>
                <w:b w:val="0"/>
                <w:sz w:val="17"/>
              </w:rPr>
              <w:t>Objectives, scope, research questions</w:t>
            </w:r>
          </w:p>
        </w:tc>
        <w:tc>
          <w:tcPr>
            <w:tcW w:type="dxa" w:w="2045"/>
            <w:vAlign w:val="center"/>
          </w:tcPr>
          <w:p>
            <w:r/>
            <w:r>
              <w:rPr>
                <w:b w:val="0"/>
                <w:sz w:val="17"/>
              </w:rPr>
              <w:t>M1</w:t>
            </w:r>
          </w:p>
        </w:tc>
      </w:tr>
      <w:tr>
        <w:tc>
          <w:tcPr>
            <w:tcW w:type="dxa" w:w="2045"/>
            <w:vAlign w:val="center"/>
          </w:tcPr>
          <w:p>
            <w:r/>
            <w:r>
              <w:rPr>
                <w:b w:val="0"/>
                <w:sz w:val="17"/>
              </w:rPr>
              <w:t>2</w:t>
            </w:r>
          </w:p>
        </w:tc>
        <w:tc>
          <w:tcPr>
            <w:tcW w:type="dxa" w:w="2045"/>
            <w:vAlign w:val="center"/>
          </w:tcPr>
          <w:p>
            <w:r/>
            <w:r>
              <w:rPr>
                <w:b w:val="0"/>
                <w:sz w:val="17"/>
              </w:rPr>
              <w:t>Government source research</w:t>
            </w:r>
          </w:p>
        </w:tc>
        <w:tc>
          <w:tcPr>
            <w:tcW w:type="dxa" w:w="2045"/>
            <w:vAlign w:val="center"/>
          </w:tcPr>
          <w:p>
            <w:r/>
            <w:r>
              <w:rPr>
                <w:b w:val="0"/>
                <w:sz w:val="17"/>
              </w:rPr>
              <w:t>5</w:t>
            </w:r>
          </w:p>
        </w:tc>
        <w:tc>
          <w:tcPr>
            <w:tcW w:type="dxa" w:w="2045"/>
            <w:vAlign w:val="center"/>
          </w:tcPr>
          <w:p>
            <w:r/>
            <w:r>
              <w:rPr>
                <w:b w:val="0"/>
                <w:sz w:val="17"/>
              </w:rPr>
              <w:t>DES, data.gov.in, e-NAM and MoSPI review</w:t>
            </w:r>
          </w:p>
        </w:tc>
        <w:tc>
          <w:tcPr>
            <w:tcW w:type="dxa" w:w="2045"/>
            <w:vAlign w:val="center"/>
          </w:tcPr>
          <w:p>
            <w:r/>
            <w:r>
              <w:rPr>
                <w:b w:val="0"/>
                <w:sz w:val="17"/>
              </w:rPr>
              <w:t>M2</w:t>
            </w:r>
          </w:p>
        </w:tc>
      </w:tr>
      <w:tr>
        <w:tc>
          <w:tcPr>
            <w:tcW w:type="dxa" w:w="2045"/>
            <w:vAlign w:val="center"/>
          </w:tcPr>
          <w:p>
            <w:r/>
            <w:r>
              <w:rPr>
                <w:b w:val="0"/>
                <w:sz w:val="17"/>
              </w:rPr>
              <w:t>3</w:t>
            </w:r>
          </w:p>
        </w:tc>
        <w:tc>
          <w:tcPr>
            <w:tcW w:type="dxa" w:w="2045"/>
            <w:vAlign w:val="center"/>
          </w:tcPr>
          <w:p>
            <w:r/>
            <w:r>
              <w:rPr>
                <w:b w:val="0"/>
                <w:sz w:val="17"/>
              </w:rPr>
              <w:t>International/research source research</w:t>
            </w:r>
          </w:p>
        </w:tc>
        <w:tc>
          <w:tcPr>
            <w:tcW w:type="dxa" w:w="2045"/>
            <w:vAlign w:val="center"/>
          </w:tcPr>
          <w:p>
            <w:r/>
            <w:r>
              <w:rPr>
                <w:b w:val="0"/>
                <w:sz w:val="17"/>
              </w:rPr>
              <w:t>3</w:t>
            </w:r>
          </w:p>
        </w:tc>
        <w:tc>
          <w:tcPr>
            <w:tcW w:type="dxa" w:w="2045"/>
            <w:vAlign w:val="center"/>
          </w:tcPr>
          <w:p>
            <w:r/>
            <w:r>
              <w:rPr>
                <w:b w:val="0"/>
                <w:sz w:val="17"/>
              </w:rPr>
              <w:t>FAOSTAT, World Bank, ICAR, academic literature</w:t>
            </w:r>
          </w:p>
        </w:tc>
        <w:tc>
          <w:tcPr>
            <w:tcW w:type="dxa" w:w="2045"/>
            <w:vAlign w:val="center"/>
          </w:tcPr>
          <w:p>
            <w:r/>
            <w:r>
              <w:rPr>
                <w:b w:val="0"/>
                <w:sz w:val="17"/>
              </w:rPr>
              <w:t>M2</w:t>
            </w:r>
          </w:p>
        </w:tc>
      </w:tr>
      <w:tr>
        <w:tc>
          <w:tcPr>
            <w:tcW w:type="dxa" w:w="2045"/>
            <w:vAlign w:val="center"/>
          </w:tcPr>
          <w:p>
            <w:r/>
            <w:r>
              <w:rPr>
                <w:b w:val="0"/>
                <w:sz w:val="17"/>
              </w:rPr>
              <w:t>4</w:t>
            </w:r>
          </w:p>
        </w:tc>
        <w:tc>
          <w:tcPr>
            <w:tcW w:type="dxa" w:w="2045"/>
            <w:vAlign w:val="center"/>
          </w:tcPr>
          <w:p>
            <w:r/>
            <w:r>
              <w:rPr>
                <w:b w:val="0"/>
                <w:sz w:val="17"/>
              </w:rPr>
              <w:t>Dataset profiling plan</w:t>
            </w:r>
          </w:p>
        </w:tc>
        <w:tc>
          <w:tcPr>
            <w:tcW w:type="dxa" w:w="2045"/>
            <w:vAlign w:val="center"/>
          </w:tcPr>
          <w:p>
            <w:r/>
            <w:r>
              <w:rPr>
                <w:b w:val="0"/>
                <w:sz w:val="17"/>
              </w:rPr>
              <w:t>4</w:t>
            </w:r>
          </w:p>
        </w:tc>
        <w:tc>
          <w:tcPr>
            <w:tcW w:type="dxa" w:w="2045"/>
            <w:vAlign w:val="center"/>
          </w:tcPr>
          <w:p>
            <w:r/>
            <w:r>
              <w:rPr>
                <w:b w:val="0"/>
                <w:sz w:val="17"/>
              </w:rPr>
              <w:t>Granularity, variables, units, coverage, access methods</w:t>
            </w:r>
          </w:p>
        </w:tc>
        <w:tc>
          <w:tcPr>
            <w:tcW w:type="dxa" w:w="2045"/>
            <w:vAlign w:val="center"/>
          </w:tcPr>
          <w:p>
            <w:r/>
            <w:r>
              <w:rPr>
                <w:b w:val="0"/>
                <w:sz w:val="17"/>
              </w:rPr>
              <w:t>M3</w:t>
            </w:r>
          </w:p>
        </w:tc>
      </w:tr>
      <w:tr>
        <w:tc>
          <w:tcPr>
            <w:tcW w:type="dxa" w:w="2045"/>
            <w:vAlign w:val="center"/>
          </w:tcPr>
          <w:p>
            <w:r/>
            <w:r>
              <w:rPr>
                <w:b w:val="0"/>
                <w:sz w:val="17"/>
              </w:rPr>
              <w:t>5</w:t>
            </w:r>
          </w:p>
        </w:tc>
        <w:tc>
          <w:tcPr>
            <w:tcW w:type="dxa" w:w="2045"/>
            <w:vAlign w:val="center"/>
          </w:tcPr>
          <w:p>
            <w:r/>
            <w:r>
              <w:rPr>
                <w:b w:val="0"/>
                <w:sz w:val="17"/>
              </w:rPr>
              <w:t>KPI &amp; research-question mapping</w:t>
            </w:r>
          </w:p>
        </w:tc>
        <w:tc>
          <w:tcPr>
            <w:tcW w:type="dxa" w:w="2045"/>
            <w:vAlign w:val="center"/>
          </w:tcPr>
          <w:p>
            <w:r/>
            <w:r>
              <w:rPr>
                <w:b w:val="0"/>
                <w:sz w:val="17"/>
              </w:rPr>
              <w:t>3</w:t>
            </w:r>
          </w:p>
        </w:tc>
        <w:tc>
          <w:tcPr>
            <w:tcW w:type="dxa" w:w="2045"/>
            <w:vAlign w:val="center"/>
          </w:tcPr>
          <w:p>
            <w:r/>
            <w:r>
              <w:rPr>
                <w:b w:val="0"/>
                <w:sz w:val="17"/>
              </w:rPr>
              <w:t>Map questions to measurable indicators</w:t>
            </w:r>
          </w:p>
        </w:tc>
        <w:tc>
          <w:tcPr>
            <w:tcW w:type="dxa" w:w="2045"/>
            <w:vAlign w:val="center"/>
          </w:tcPr>
          <w:p>
            <w:r/>
            <w:r>
              <w:rPr>
                <w:b w:val="0"/>
                <w:sz w:val="17"/>
              </w:rPr>
              <w:t>M3</w:t>
            </w:r>
          </w:p>
        </w:tc>
      </w:tr>
      <w:tr>
        <w:tc>
          <w:tcPr>
            <w:tcW w:type="dxa" w:w="2045"/>
            <w:vAlign w:val="center"/>
          </w:tcPr>
          <w:p>
            <w:r/>
            <w:r>
              <w:rPr>
                <w:b w:val="0"/>
                <w:sz w:val="17"/>
              </w:rPr>
              <w:t>6</w:t>
            </w:r>
          </w:p>
        </w:tc>
        <w:tc>
          <w:tcPr>
            <w:tcW w:type="dxa" w:w="2045"/>
            <w:vAlign w:val="center"/>
          </w:tcPr>
          <w:p>
            <w:r/>
            <w:r>
              <w:rPr>
                <w:b w:val="0"/>
                <w:sz w:val="17"/>
              </w:rPr>
              <w:t>Methodology design</w:t>
            </w:r>
          </w:p>
        </w:tc>
        <w:tc>
          <w:tcPr>
            <w:tcW w:type="dxa" w:w="2045"/>
            <w:vAlign w:val="center"/>
          </w:tcPr>
          <w:p>
            <w:r/>
            <w:r>
              <w:rPr>
                <w:b w:val="0"/>
                <w:sz w:val="17"/>
              </w:rPr>
              <w:t>5</w:t>
            </w:r>
          </w:p>
        </w:tc>
        <w:tc>
          <w:tcPr>
            <w:tcW w:type="dxa" w:w="2045"/>
            <w:vAlign w:val="center"/>
          </w:tcPr>
          <w:p>
            <w:r/>
            <w:r>
              <w:rPr>
                <w:b w:val="0"/>
                <w:sz w:val="17"/>
              </w:rPr>
              <w:t>Extraction, cleaning, validation, analysis workflow</w:t>
            </w:r>
          </w:p>
        </w:tc>
        <w:tc>
          <w:tcPr>
            <w:tcW w:type="dxa" w:w="2045"/>
            <w:vAlign w:val="center"/>
          </w:tcPr>
          <w:p>
            <w:r/>
            <w:r>
              <w:rPr>
                <w:b w:val="0"/>
                <w:sz w:val="17"/>
              </w:rPr>
              <w:t>M4</w:t>
            </w:r>
          </w:p>
        </w:tc>
      </w:tr>
      <w:tr>
        <w:tc>
          <w:tcPr>
            <w:tcW w:type="dxa" w:w="2045"/>
            <w:vAlign w:val="center"/>
          </w:tcPr>
          <w:p>
            <w:r/>
            <w:r>
              <w:rPr>
                <w:b w:val="0"/>
                <w:sz w:val="17"/>
              </w:rPr>
              <w:t>7</w:t>
            </w:r>
          </w:p>
        </w:tc>
        <w:tc>
          <w:tcPr>
            <w:tcW w:type="dxa" w:w="2045"/>
            <w:vAlign w:val="center"/>
          </w:tcPr>
          <w:p>
            <w:r/>
            <w:r>
              <w:rPr>
                <w:b w:val="0"/>
                <w:sz w:val="17"/>
              </w:rPr>
              <w:t>Risk &amp; quality framework</w:t>
            </w:r>
          </w:p>
        </w:tc>
        <w:tc>
          <w:tcPr>
            <w:tcW w:type="dxa" w:w="2045"/>
            <w:vAlign w:val="center"/>
          </w:tcPr>
          <w:p>
            <w:r/>
            <w:r>
              <w:rPr>
                <w:b w:val="0"/>
                <w:sz w:val="17"/>
              </w:rPr>
              <w:t>3</w:t>
            </w:r>
          </w:p>
        </w:tc>
        <w:tc>
          <w:tcPr>
            <w:tcW w:type="dxa" w:w="2045"/>
            <w:vAlign w:val="center"/>
          </w:tcPr>
          <w:p>
            <w:r/>
            <w:r>
              <w:rPr>
                <w:b w:val="0"/>
                <w:sz w:val="17"/>
              </w:rPr>
              <w:t>Data quality, access, comparability and reproducibility risks</w:t>
            </w:r>
          </w:p>
        </w:tc>
        <w:tc>
          <w:tcPr>
            <w:tcW w:type="dxa" w:w="2045"/>
            <w:vAlign w:val="center"/>
          </w:tcPr>
          <w:p>
            <w:r/>
            <w:r>
              <w:rPr>
                <w:b w:val="0"/>
                <w:sz w:val="17"/>
              </w:rPr>
              <w:t>M5</w:t>
            </w:r>
          </w:p>
        </w:tc>
      </w:tr>
      <w:tr>
        <w:tc>
          <w:tcPr>
            <w:tcW w:type="dxa" w:w="2045"/>
            <w:vAlign w:val="center"/>
          </w:tcPr>
          <w:p>
            <w:r/>
            <w:r>
              <w:rPr>
                <w:b w:val="0"/>
                <w:sz w:val="17"/>
              </w:rPr>
              <w:t>8</w:t>
            </w:r>
          </w:p>
        </w:tc>
        <w:tc>
          <w:tcPr>
            <w:tcW w:type="dxa" w:w="2045"/>
            <w:vAlign w:val="center"/>
          </w:tcPr>
          <w:p>
            <w:r/>
            <w:r>
              <w:rPr>
                <w:b w:val="0"/>
                <w:sz w:val="17"/>
              </w:rPr>
              <w:t>Timeline/resource plan</w:t>
            </w:r>
          </w:p>
        </w:tc>
        <w:tc>
          <w:tcPr>
            <w:tcW w:type="dxa" w:w="2045"/>
            <w:vAlign w:val="center"/>
          </w:tcPr>
          <w:p>
            <w:r/>
            <w:r>
              <w:rPr>
                <w:b w:val="0"/>
                <w:sz w:val="17"/>
              </w:rPr>
              <w:t>2</w:t>
            </w:r>
          </w:p>
        </w:tc>
        <w:tc>
          <w:tcPr>
            <w:tcW w:type="dxa" w:w="2045"/>
            <w:vAlign w:val="center"/>
          </w:tcPr>
          <w:p>
            <w:r/>
            <w:r>
              <w:rPr>
                <w:b w:val="0"/>
                <w:sz w:val="17"/>
              </w:rPr>
              <w:t>Work breakdown and dependencies</w:t>
            </w:r>
          </w:p>
        </w:tc>
        <w:tc>
          <w:tcPr>
            <w:tcW w:type="dxa" w:w="2045"/>
            <w:vAlign w:val="center"/>
          </w:tcPr>
          <w:p>
            <w:r/>
            <w:r>
              <w:rPr>
                <w:b w:val="0"/>
                <w:sz w:val="17"/>
              </w:rPr>
              <w:t>M5</w:t>
            </w:r>
          </w:p>
        </w:tc>
      </w:tr>
      <w:tr>
        <w:tc>
          <w:tcPr>
            <w:tcW w:type="dxa" w:w="2045"/>
            <w:vAlign w:val="center"/>
          </w:tcPr>
          <w:p>
            <w:r/>
            <w:r>
              <w:rPr>
                <w:b w:val="0"/>
                <w:sz w:val="17"/>
              </w:rPr>
              <w:t>9</w:t>
            </w:r>
          </w:p>
        </w:tc>
        <w:tc>
          <w:tcPr>
            <w:tcW w:type="dxa" w:w="2045"/>
            <w:vAlign w:val="center"/>
          </w:tcPr>
          <w:p>
            <w:r/>
            <w:r>
              <w:rPr>
                <w:b w:val="0"/>
                <w:sz w:val="17"/>
              </w:rPr>
              <w:t>Report writing &amp; formatting</w:t>
            </w:r>
          </w:p>
        </w:tc>
        <w:tc>
          <w:tcPr>
            <w:tcW w:type="dxa" w:w="2045"/>
            <w:vAlign w:val="center"/>
          </w:tcPr>
          <w:p>
            <w:r/>
            <w:r>
              <w:rPr>
                <w:b w:val="0"/>
                <w:sz w:val="17"/>
              </w:rPr>
              <w:t>4</w:t>
            </w:r>
          </w:p>
        </w:tc>
        <w:tc>
          <w:tcPr>
            <w:tcW w:type="dxa" w:w="2045"/>
            <w:vAlign w:val="center"/>
          </w:tcPr>
          <w:p>
            <w:r/>
            <w:r>
              <w:rPr>
                <w:b w:val="0"/>
                <w:sz w:val="17"/>
              </w:rPr>
              <w:t>Compile findings, tables and appendices</w:t>
            </w:r>
          </w:p>
        </w:tc>
        <w:tc>
          <w:tcPr>
            <w:tcW w:type="dxa" w:w="2045"/>
            <w:vAlign w:val="center"/>
          </w:tcPr>
          <w:p>
            <w:r/>
            <w:r>
              <w:rPr>
                <w:b w:val="0"/>
                <w:sz w:val="17"/>
              </w:rPr>
              <w:t>M6</w:t>
            </w:r>
          </w:p>
        </w:tc>
      </w:tr>
      <w:tr>
        <w:tc>
          <w:tcPr>
            <w:tcW w:type="dxa" w:w="2045"/>
            <w:vAlign w:val="center"/>
          </w:tcPr>
          <w:p>
            <w:r/>
            <w:r>
              <w:rPr>
                <w:b w:val="0"/>
                <w:sz w:val="17"/>
              </w:rPr>
              <w:t>10</w:t>
            </w:r>
          </w:p>
        </w:tc>
        <w:tc>
          <w:tcPr>
            <w:tcW w:type="dxa" w:w="2045"/>
            <w:vAlign w:val="center"/>
          </w:tcPr>
          <w:p>
            <w:r/>
            <w:r>
              <w:rPr>
                <w:b w:val="0"/>
                <w:sz w:val="17"/>
              </w:rPr>
              <w:t>QA &amp; packaging</w:t>
            </w:r>
          </w:p>
        </w:tc>
        <w:tc>
          <w:tcPr>
            <w:tcW w:type="dxa" w:w="2045"/>
            <w:vAlign w:val="center"/>
          </w:tcPr>
          <w:p>
            <w:r/>
            <w:r>
              <w:rPr>
                <w:b w:val="0"/>
                <w:sz w:val="17"/>
              </w:rPr>
              <w:t>2</w:t>
            </w:r>
          </w:p>
        </w:tc>
        <w:tc>
          <w:tcPr>
            <w:tcW w:type="dxa" w:w="2045"/>
            <w:vAlign w:val="center"/>
          </w:tcPr>
          <w:p>
            <w:r/>
            <w:r>
              <w:rPr>
                <w:b w:val="0"/>
                <w:sz w:val="17"/>
              </w:rPr>
              <w:t>Check links, references, structure and files</w:t>
            </w:r>
          </w:p>
        </w:tc>
        <w:tc>
          <w:tcPr>
            <w:tcW w:type="dxa" w:w="2045"/>
            <w:vAlign w:val="center"/>
          </w:tcPr>
          <w:p>
            <w:r/>
            <w:r>
              <w:rPr>
                <w:b w:val="0"/>
                <w:sz w:val="17"/>
              </w:rPr>
              <w:t>M6</w:t>
            </w:r>
          </w:p>
        </w:tc>
      </w:tr>
    </w:tbl>
    <w:p>
      <w:r>
        <w:rPr>
          <w:b/>
        </w:rPr>
        <w:t xml:space="preserve">Total planned effort: 34 hours. </w:t>
      </w:r>
      <w:r>
        <w:t>This sits within the required 30–35 hour range and reserves 2 hours for final QA/package integrity.</w:t>
      </w:r>
    </w:p>
    <w:p>
      <w:pPr>
        <w:pStyle w:val="Heading1"/>
        <w:spacing w:before="180" w:after="80"/>
      </w:pPr>
      <w:r>
        <w:t>9. Resource Allocation</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D9EAF7"/>
          </w:tcPr>
          <w:p>
            <w:r/>
            <w:r>
              <w:rPr>
                <w:b/>
                <w:sz w:val="17"/>
              </w:rPr>
              <w:t>Resource type</w:t>
            </w:r>
          </w:p>
        </w:tc>
        <w:tc>
          <w:tcPr>
            <w:tcW w:type="dxa" w:w="2556"/>
            <w:vAlign w:val="center"/>
            <w:shd w:fill="D9EAF7"/>
          </w:tcPr>
          <w:p>
            <w:r/>
            <w:r>
              <w:rPr>
                <w:b/>
                <w:sz w:val="17"/>
              </w:rPr>
              <w:t>Resource</w:t>
            </w:r>
          </w:p>
        </w:tc>
        <w:tc>
          <w:tcPr>
            <w:tcW w:type="dxa" w:w="2556"/>
            <w:vAlign w:val="center"/>
            <w:shd w:fill="D9EAF7"/>
          </w:tcPr>
          <w:p>
            <w:r/>
            <w:r>
              <w:rPr>
                <w:b/>
                <w:sz w:val="17"/>
              </w:rPr>
              <w:t>Allocation</w:t>
            </w:r>
          </w:p>
        </w:tc>
        <w:tc>
          <w:tcPr>
            <w:tcW w:type="dxa" w:w="2556"/>
            <w:vAlign w:val="center"/>
            <w:shd w:fill="D9EAF7"/>
          </w:tcPr>
          <w:p>
            <w:r/>
            <w:r>
              <w:rPr>
                <w:b/>
                <w:sz w:val="17"/>
              </w:rPr>
              <w:t>Purpose</w:t>
            </w:r>
          </w:p>
        </w:tc>
      </w:tr>
      <w:tr>
        <w:tc>
          <w:tcPr>
            <w:tcW w:type="dxa" w:w="2556"/>
            <w:vAlign w:val="center"/>
          </w:tcPr>
          <w:p>
            <w:r/>
            <w:r>
              <w:rPr>
                <w:b w:val="0"/>
                <w:sz w:val="17"/>
              </w:rPr>
              <w:t>Human</w:t>
            </w:r>
          </w:p>
        </w:tc>
        <w:tc>
          <w:tcPr>
            <w:tcW w:type="dxa" w:w="2556"/>
            <w:vAlign w:val="center"/>
          </w:tcPr>
          <w:p>
            <w:r/>
            <w:r>
              <w:rPr>
                <w:b w:val="0"/>
                <w:sz w:val="17"/>
              </w:rPr>
              <w:t>Intern / Data Analyst</w:t>
            </w:r>
          </w:p>
        </w:tc>
        <w:tc>
          <w:tcPr>
            <w:tcW w:type="dxa" w:w="2556"/>
            <w:vAlign w:val="center"/>
          </w:tcPr>
          <w:p>
            <w:r/>
            <w:r>
              <w:rPr>
                <w:b w:val="0"/>
                <w:sz w:val="17"/>
              </w:rPr>
              <w:t>34 hours</w:t>
            </w:r>
          </w:p>
        </w:tc>
        <w:tc>
          <w:tcPr>
            <w:tcW w:type="dxa" w:w="2556"/>
            <w:vAlign w:val="center"/>
          </w:tcPr>
          <w:p>
            <w:r/>
            <w:r>
              <w:rPr>
                <w:b w:val="0"/>
                <w:sz w:val="17"/>
              </w:rPr>
              <w:t>Research, extraction design, cleaning specification, analysis planning and documentation.</w:t>
            </w:r>
          </w:p>
        </w:tc>
      </w:tr>
      <w:tr>
        <w:tc>
          <w:tcPr>
            <w:tcW w:type="dxa" w:w="2556"/>
            <w:vAlign w:val="center"/>
          </w:tcPr>
          <w:p>
            <w:r/>
            <w:r>
              <w:rPr>
                <w:b w:val="0"/>
                <w:sz w:val="17"/>
              </w:rPr>
              <w:t>Technical</w:t>
            </w:r>
          </w:p>
        </w:tc>
        <w:tc>
          <w:tcPr>
            <w:tcW w:type="dxa" w:w="2556"/>
            <w:vAlign w:val="center"/>
          </w:tcPr>
          <w:p>
            <w:r/>
            <w:r>
              <w:rPr>
                <w:b w:val="0"/>
                <w:sz w:val="17"/>
              </w:rPr>
              <w:t>Python + pandas</w:t>
            </w:r>
          </w:p>
        </w:tc>
        <w:tc>
          <w:tcPr>
            <w:tcW w:type="dxa" w:w="2556"/>
            <w:vAlign w:val="center"/>
          </w:tcPr>
          <w:p>
            <w:r/>
            <w:r>
              <w:rPr>
                <w:b w:val="0"/>
                <w:sz w:val="17"/>
              </w:rPr>
              <w:t>As required</w:t>
            </w:r>
          </w:p>
        </w:tc>
        <w:tc>
          <w:tcPr>
            <w:tcW w:type="dxa" w:w="2556"/>
            <w:vAlign w:val="center"/>
          </w:tcPr>
          <w:p>
            <w:r/>
            <w:r>
              <w:rPr>
                <w:b w:val="0"/>
                <w:sz w:val="17"/>
              </w:rPr>
              <w:t>Data extraction/cleaning/EDA and reproducible scripts.</w:t>
            </w:r>
          </w:p>
        </w:tc>
      </w:tr>
      <w:tr>
        <w:tc>
          <w:tcPr>
            <w:tcW w:type="dxa" w:w="2556"/>
            <w:vAlign w:val="center"/>
          </w:tcPr>
          <w:p>
            <w:r/>
            <w:r>
              <w:rPr>
                <w:b w:val="0"/>
                <w:sz w:val="17"/>
              </w:rPr>
              <w:t>Technical</w:t>
            </w:r>
          </w:p>
        </w:tc>
        <w:tc>
          <w:tcPr>
            <w:tcW w:type="dxa" w:w="2556"/>
            <w:vAlign w:val="center"/>
          </w:tcPr>
          <w:p>
            <w:r/>
            <w:r>
              <w:rPr>
                <w:b w:val="0"/>
                <w:sz w:val="17"/>
              </w:rPr>
              <w:t>Excel / spreadsheet tool</w:t>
            </w:r>
          </w:p>
        </w:tc>
        <w:tc>
          <w:tcPr>
            <w:tcW w:type="dxa" w:w="2556"/>
            <w:vAlign w:val="center"/>
          </w:tcPr>
          <w:p>
            <w:r/>
            <w:r>
              <w:rPr>
                <w:b w:val="0"/>
                <w:sz w:val="17"/>
              </w:rPr>
              <w:t>As required</w:t>
            </w:r>
          </w:p>
        </w:tc>
        <w:tc>
          <w:tcPr>
            <w:tcW w:type="dxa" w:w="2556"/>
            <w:vAlign w:val="center"/>
          </w:tcPr>
          <w:p>
            <w:r/>
            <w:r>
              <w:rPr>
                <w:b w:val="0"/>
                <w:sz w:val="17"/>
              </w:rPr>
              <w:t>Quick profiling, validation and stakeholder-friendly tables.</w:t>
            </w:r>
          </w:p>
        </w:tc>
      </w:tr>
      <w:tr>
        <w:tc>
          <w:tcPr>
            <w:tcW w:type="dxa" w:w="2556"/>
            <w:vAlign w:val="center"/>
          </w:tcPr>
          <w:p>
            <w:r/>
            <w:r>
              <w:rPr>
                <w:b w:val="0"/>
                <w:sz w:val="17"/>
              </w:rPr>
              <w:t>Technical</w:t>
            </w:r>
          </w:p>
        </w:tc>
        <w:tc>
          <w:tcPr>
            <w:tcW w:type="dxa" w:w="2556"/>
            <w:vAlign w:val="center"/>
          </w:tcPr>
          <w:p>
            <w:r/>
            <w:r>
              <w:rPr>
                <w:b w:val="0"/>
                <w:sz w:val="17"/>
              </w:rPr>
              <w:t>SQL (optional)</w:t>
            </w:r>
          </w:p>
        </w:tc>
        <w:tc>
          <w:tcPr>
            <w:tcW w:type="dxa" w:w="2556"/>
            <w:vAlign w:val="center"/>
          </w:tcPr>
          <w:p>
            <w:r/>
            <w:r>
              <w:rPr>
                <w:b w:val="0"/>
                <w:sz w:val="17"/>
              </w:rPr>
              <w:t>As required</w:t>
            </w:r>
          </w:p>
        </w:tc>
        <w:tc>
          <w:tcPr>
            <w:tcW w:type="dxa" w:w="2556"/>
            <w:vAlign w:val="center"/>
          </w:tcPr>
          <w:p>
            <w:r/>
            <w:r>
              <w:rPr>
                <w:b w:val="0"/>
                <w:sz w:val="17"/>
              </w:rPr>
              <w:t>Structured storage/querying when datasets become larger.</w:t>
            </w:r>
          </w:p>
        </w:tc>
      </w:tr>
      <w:tr>
        <w:tc>
          <w:tcPr>
            <w:tcW w:type="dxa" w:w="2556"/>
            <w:vAlign w:val="center"/>
          </w:tcPr>
          <w:p>
            <w:r/>
            <w:r>
              <w:rPr>
                <w:b w:val="0"/>
                <w:sz w:val="17"/>
              </w:rPr>
              <w:t>Visualization</w:t>
            </w:r>
          </w:p>
        </w:tc>
        <w:tc>
          <w:tcPr>
            <w:tcW w:type="dxa" w:w="2556"/>
            <w:vAlign w:val="center"/>
          </w:tcPr>
          <w:p>
            <w:r/>
            <w:r>
              <w:rPr>
                <w:b w:val="0"/>
                <w:sz w:val="17"/>
              </w:rPr>
              <w:t>Power BI / Tableau / Python plotting</w:t>
            </w:r>
          </w:p>
        </w:tc>
        <w:tc>
          <w:tcPr>
            <w:tcW w:type="dxa" w:w="2556"/>
            <w:vAlign w:val="center"/>
          </w:tcPr>
          <w:p>
            <w:r/>
            <w:r>
              <w:rPr>
                <w:b w:val="0"/>
                <w:sz w:val="17"/>
              </w:rPr>
              <w:t>Later phase</w:t>
            </w:r>
          </w:p>
        </w:tc>
        <w:tc>
          <w:tcPr>
            <w:tcW w:type="dxa" w:w="2556"/>
            <w:vAlign w:val="center"/>
          </w:tcPr>
          <w:p>
            <w:r/>
            <w:r>
              <w:rPr>
                <w:b w:val="0"/>
                <w:sz w:val="17"/>
              </w:rPr>
              <w:t>Dashboard and communication layer.</w:t>
            </w:r>
          </w:p>
        </w:tc>
      </w:tr>
      <w:tr>
        <w:tc>
          <w:tcPr>
            <w:tcW w:type="dxa" w:w="2556"/>
            <w:vAlign w:val="center"/>
          </w:tcPr>
          <w:p>
            <w:r/>
            <w:r>
              <w:rPr>
                <w:b w:val="0"/>
                <w:sz w:val="17"/>
              </w:rPr>
              <w:t>Reference</w:t>
            </w:r>
          </w:p>
        </w:tc>
        <w:tc>
          <w:tcPr>
            <w:tcW w:type="dxa" w:w="2556"/>
            <w:vAlign w:val="center"/>
          </w:tcPr>
          <w:p>
            <w:r/>
            <w:r>
              <w:rPr>
                <w:b w:val="0"/>
                <w:sz w:val="17"/>
              </w:rPr>
              <w:t>Government portals / reports</w:t>
            </w:r>
          </w:p>
        </w:tc>
        <w:tc>
          <w:tcPr>
            <w:tcW w:type="dxa" w:w="2556"/>
            <w:vAlign w:val="center"/>
          </w:tcPr>
          <w:p>
            <w:r/>
            <w:r>
              <w:rPr>
                <w:b w:val="0"/>
                <w:sz w:val="17"/>
              </w:rPr>
              <w:t>Core</w:t>
            </w:r>
          </w:p>
        </w:tc>
        <w:tc>
          <w:tcPr>
            <w:tcW w:type="dxa" w:w="2556"/>
            <w:vAlign w:val="center"/>
          </w:tcPr>
          <w:p>
            <w:r/>
            <w:r>
              <w:rPr>
                <w:b w:val="0"/>
                <w:sz w:val="17"/>
              </w:rPr>
              <w:t>Primary evidence and definitions.</w:t>
            </w:r>
          </w:p>
        </w:tc>
      </w:tr>
      <w:tr>
        <w:tc>
          <w:tcPr>
            <w:tcW w:type="dxa" w:w="2556"/>
            <w:vAlign w:val="center"/>
          </w:tcPr>
          <w:p>
            <w:r/>
            <w:r>
              <w:rPr>
                <w:b w:val="0"/>
                <w:sz w:val="17"/>
              </w:rPr>
              <w:t>Reference</w:t>
            </w:r>
          </w:p>
        </w:tc>
        <w:tc>
          <w:tcPr>
            <w:tcW w:type="dxa" w:w="2556"/>
            <w:vAlign w:val="center"/>
          </w:tcPr>
          <w:p>
            <w:r/>
            <w:r>
              <w:rPr>
                <w:b w:val="0"/>
                <w:sz w:val="17"/>
              </w:rPr>
              <w:t>Academic literature</w:t>
            </w:r>
          </w:p>
        </w:tc>
        <w:tc>
          <w:tcPr>
            <w:tcW w:type="dxa" w:w="2556"/>
            <w:vAlign w:val="center"/>
          </w:tcPr>
          <w:p>
            <w:r/>
            <w:r>
              <w:rPr>
                <w:b w:val="0"/>
                <w:sz w:val="17"/>
              </w:rPr>
              <w:t>Supporting</w:t>
            </w:r>
          </w:p>
        </w:tc>
        <w:tc>
          <w:tcPr>
            <w:tcW w:type="dxa" w:w="2556"/>
            <w:vAlign w:val="center"/>
          </w:tcPr>
          <w:p>
            <w:r/>
            <w:r>
              <w:rPr>
                <w:b w:val="0"/>
                <w:sz w:val="17"/>
              </w:rPr>
              <w:t>Method selection and contextual interpretation.</w:t>
            </w:r>
          </w:p>
        </w:tc>
      </w:tr>
    </w:tbl>
    <w:p>
      <w:pPr>
        <w:pStyle w:val="Heading1"/>
        <w:spacing w:before="180" w:after="80"/>
      </w:pPr>
      <w:r>
        <w:t>10. Risk Assessment &amp; Mitigation</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7"/>
              </w:rPr>
              <w:t>ID</w:t>
            </w:r>
          </w:p>
        </w:tc>
        <w:tc>
          <w:tcPr>
            <w:tcW w:type="dxa" w:w="2045"/>
            <w:vAlign w:val="center"/>
            <w:shd w:fill="D9EAF7"/>
          </w:tcPr>
          <w:p>
            <w:r/>
            <w:r>
              <w:rPr>
                <w:b/>
                <w:sz w:val="17"/>
              </w:rPr>
              <w:t>Risk</w:t>
            </w:r>
          </w:p>
        </w:tc>
        <w:tc>
          <w:tcPr>
            <w:tcW w:type="dxa" w:w="2045"/>
            <w:vAlign w:val="center"/>
            <w:shd w:fill="D9EAF7"/>
          </w:tcPr>
          <w:p>
            <w:r/>
            <w:r>
              <w:rPr>
                <w:b/>
                <w:sz w:val="17"/>
              </w:rPr>
              <w:t>Likelihood</w:t>
            </w:r>
          </w:p>
        </w:tc>
        <w:tc>
          <w:tcPr>
            <w:tcW w:type="dxa" w:w="2045"/>
            <w:vAlign w:val="center"/>
            <w:shd w:fill="D9EAF7"/>
          </w:tcPr>
          <w:p>
            <w:r/>
            <w:r>
              <w:rPr>
                <w:b/>
                <w:sz w:val="17"/>
              </w:rPr>
              <w:t>Impact</w:t>
            </w:r>
          </w:p>
        </w:tc>
        <w:tc>
          <w:tcPr>
            <w:tcW w:type="dxa" w:w="2045"/>
            <w:vAlign w:val="center"/>
            <w:shd w:fill="D9EAF7"/>
          </w:tcPr>
          <w:p>
            <w:r/>
            <w:r>
              <w:rPr>
                <w:b/>
                <w:sz w:val="17"/>
              </w:rPr>
              <w:t>Mitigation</w:t>
            </w:r>
          </w:p>
        </w:tc>
      </w:tr>
      <w:tr>
        <w:tc>
          <w:tcPr>
            <w:tcW w:type="dxa" w:w="2045"/>
            <w:vAlign w:val="center"/>
          </w:tcPr>
          <w:p>
            <w:r/>
            <w:r>
              <w:rPr>
                <w:b w:val="0"/>
                <w:sz w:val="17"/>
              </w:rPr>
              <w:t>R1</w:t>
            </w:r>
          </w:p>
        </w:tc>
        <w:tc>
          <w:tcPr>
            <w:tcW w:type="dxa" w:w="2045"/>
            <w:vAlign w:val="center"/>
          </w:tcPr>
          <w:p>
            <w:r/>
            <w:r>
              <w:rPr>
                <w:b w:val="0"/>
                <w:sz w:val="17"/>
              </w:rPr>
              <w:t>Data access changes / portal downtime</w:t>
            </w:r>
          </w:p>
        </w:tc>
        <w:tc>
          <w:tcPr>
            <w:tcW w:type="dxa" w:w="2045"/>
            <w:vAlign w:val="center"/>
          </w:tcPr>
          <w:p>
            <w:r/>
            <w:r>
              <w:rPr>
                <w:b w:val="0"/>
                <w:sz w:val="17"/>
              </w:rPr>
              <w:t>Medium</w:t>
            </w:r>
          </w:p>
        </w:tc>
        <w:tc>
          <w:tcPr>
            <w:tcW w:type="dxa" w:w="2045"/>
            <w:vAlign w:val="center"/>
          </w:tcPr>
          <w:p>
            <w:r/>
            <w:r>
              <w:rPr>
                <w:b w:val="0"/>
                <w:sz w:val="17"/>
              </w:rPr>
              <w:t>High</w:t>
            </w:r>
          </w:p>
        </w:tc>
        <w:tc>
          <w:tcPr>
            <w:tcW w:type="dxa" w:w="2045"/>
            <w:vAlign w:val="center"/>
          </w:tcPr>
          <w:p>
            <w:r/>
            <w:r>
              <w:rPr>
                <w:b w:val="0"/>
                <w:sz w:val="17"/>
              </w:rPr>
              <w:t>Maintain source register; save permitted raw downloads; document access date; use official alternate endpoints where available.</w:t>
            </w:r>
          </w:p>
        </w:tc>
      </w:tr>
      <w:tr>
        <w:tc>
          <w:tcPr>
            <w:tcW w:type="dxa" w:w="2045"/>
            <w:vAlign w:val="center"/>
          </w:tcPr>
          <w:p>
            <w:r/>
            <w:r>
              <w:rPr>
                <w:b w:val="0"/>
                <w:sz w:val="17"/>
              </w:rPr>
              <w:t>R2</w:t>
            </w:r>
          </w:p>
        </w:tc>
        <w:tc>
          <w:tcPr>
            <w:tcW w:type="dxa" w:w="2045"/>
            <w:vAlign w:val="center"/>
          </w:tcPr>
          <w:p>
            <w:r/>
            <w:r>
              <w:rPr>
                <w:b w:val="0"/>
                <w:sz w:val="17"/>
              </w:rPr>
              <w:t>Missing or inconsistent observations</w:t>
            </w:r>
          </w:p>
        </w:tc>
        <w:tc>
          <w:tcPr>
            <w:tcW w:type="dxa" w:w="2045"/>
            <w:vAlign w:val="center"/>
          </w:tcPr>
          <w:p>
            <w:r/>
            <w:r>
              <w:rPr>
                <w:b w:val="0"/>
                <w:sz w:val="17"/>
              </w:rPr>
              <w:t>High</w:t>
            </w:r>
          </w:p>
        </w:tc>
        <w:tc>
          <w:tcPr>
            <w:tcW w:type="dxa" w:w="2045"/>
            <w:vAlign w:val="center"/>
          </w:tcPr>
          <w:p>
            <w:r/>
            <w:r>
              <w:rPr>
                <w:b w:val="0"/>
                <w:sz w:val="17"/>
              </w:rPr>
              <w:t>High</w:t>
            </w:r>
          </w:p>
        </w:tc>
        <w:tc>
          <w:tcPr>
            <w:tcW w:type="dxa" w:w="2045"/>
            <w:vAlign w:val="center"/>
          </w:tcPr>
          <w:p>
            <w:r/>
            <w:r>
              <w:rPr>
                <w:b w:val="0"/>
                <w:sz w:val="17"/>
              </w:rPr>
              <w:t>Profile missingness before analysis; use explicit missing codes; avoid silent imputation; document any justified method.</w:t>
            </w:r>
          </w:p>
        </w:tc>
      </w:tr>
      <w:tr>
        <w:tc>
          <w:tcPr>
            <w:tcW w:type="dxa" w:w="2045"/>
            <w:vAlign w:val="center"/>
          </w:tcPr>
          <w:p>
            <w:r/>
            <w:r>
              <w:rPr>
                <w:b w:val="0"/>
                <w:sz w:val="17"/>
              </w:rPr>
              <w:t>R3</w:t>
            </w:r>
          </w:p>
        </w:tc>
        <w:tc>
          <w:tcPr>
            <w:tcW w:type="dxa" w:w="2045"/>
            <w:vAlign w:val="center"/>
          </w:tcPr>
          <w:p>
            <w:r/>
            <w:r>
              <w:rPr>
                <w:b w:val="0"/>
                <w:sz w:val="17"/>
              </w:rPr>
              <w:t>Different definitions across sources</w:t>
            </w:r>
          </w:p>
        </w:tc>
        <w:tc>
          <w:tcPr>
            <w:tcW w:type="dxa" w:w="2045"/>
            <w:vAlign w:val="center"/>
          </w:tcPr>
          <w:p>
            <w:r/>
            <w:r>
              <w:rPr>
                <w:b w:val="0"/>
                <w:sz w:val="17"/>
              </w:rPr>
              <w:t>High</w:t>
            </w:r>
          </w:p>
        </w:tc>
        <w:tc>
          <w:tcPr>
            <w:tcW w:type="dxa" w:w="2045"/>
            <w:vAlign w:val="center"/>
          </w:tcPr>
          <w:p>
            <w:r/>
            <w:r>
              <w:rPr>
                <w:b w:val="0"/>
                <w:sz w:val="17"/>
              </w:rPr>
              <w:t>High</w:t>
            </w:r>
          </w:p>
        </w:tc>
        <w:tc>
          <w:tcPr>
            <w:tcW w:type="dxa" w:w="2045"/>
            <w:vAlign w:val="center"/>
          </w:tcPr>
          <w:p>
            <w:r/>
            <w:r>
              <w:rPr>
                <w:b w:val="0"/>
                <w:sz w:val="17"/>
              </w:rPr>
              <w:t>Create data dictionary; compare metadata; harmonize only after confirming conceptual equivalence.</w:t>
            </w:r>
          </w:p>
        </w:tc>
      </w:tr>
      <w:tr>
        <w:tc>
          <w:tcPr>
            <w:tcW w:type="dxa" w:w="2045"/>
            <w:vAlign w:val="center"/>
          </w:tcPr>
          <w:p>
            <w:r/>
            <w:r>
              <w:rPr>
                <w:b w:val="0"/>
                <w:sz w:val="17"/>
              </w:rPr>
              <w:t>R4</w:t>
            </w:r>
          </w:p>
        </w:tc>
        <w:tc>
          <w:tcPr>
            <w:tcW w:type="dxa" w:w="2045"/>
            <w:vAlign w:val="center"/>
          </w:tcPr>
          <w:p>
            <w:r/>
            <w:r>
              <w:rPr>
                <w:b w:val="0"/>
                <w:sz w:val="17"/>
              </w:rPr>
              <w:t>Provisional vs final estimates</w:t>
            </w:r>
          </w:p>
        </w:tc>
        <w:tc>
          <w:tcPr>
            <w:tcW w:type="dxa" w:w="2045"/>
            <w:vAlign w:val="center"/>
          </w:tcPr>
          <w:p>
            <w:r/>
            <w:r>
              <w:rPr>
                <w:b w:val="0"/>
                <w:sz w:val="17"/>
              </w:rPr>
              <w:t>Medium</w:t>
            </w:r>
          </w:p>
        </w:tc>
        <w:tc>
          <w:tcPr>
            <w:tcW w:type="dxa" w:w="2045"/>
            <w:vAlign w:val="center"/>
          </w:tcPr>
          <w:p>
            <w:r/>
            <w:r>
              <w:rPr>
                <w:b w:val="0"/>
                <w:sz w:val="17"/>
              </w:rPr>
              <w:t>High</w:t>
            </w:r>
          </w:p>
        </w:tc>
        <w:tc>
          <w:tcPr>
            <w:tcW w:type="dxa" w:w="2045"/>
            <w:vAlign w:val="center"/>
          </w:tcPr>
          <w:p>
            <w:r/>
            <w:r>
              <w:rPr>
                <w:b w:val="0"/>
                <w:sz w:val="17"/>
              </w:rPr>
              <w:t>Tag estimate status and revision date; do not mix without disclosure.</w:t>
            </w:r>
          </w:p>
        </w:tc>
      </w:tr>
      <w:tr>
        <w:tc>
          <w:tcPr>
            <w:tcW w:type="dxa" w:w="2045"/>
            <w:vAlign w:val="center"/>
          </w:tcPr>
          <w:p>
            <w:r/>
            <w:r>
              <w:rPr>
                <w:b w:val="0"/>
                <w:sz w:val="17"/>
              </w:rPr>
              <w:t>R5</w:t>
            </w:r>
          </w:p>
        </w:tc>
        <w:tc>
          <w:tcPr>
            <w:tcW w:type="dxa" w:w="2045"/>
            <w:vAlign w:val="center"/>
          </w:tcPr>
          <w:p>
            <w:r/>
            <w:r>
              <w:rPr>
                <w:b w:val="0"/>
                <w:sz w:val="17"/>
              </w:rPr>
              <w:t>Unit/currency mismatch</w:t>
            </w:r>
          </w:p>
        </w:tc>
        <w:tc>
          <w:tcPr>
            <w:tcW w:type="dxa" w:w="2045"/>
            <w:vAlign w:val="center"/>
          </w:tcPr>
          <w:p>
            <w:r/>
            <w:r>
              <w:rPr>
                <w:b w:val="0"/>
                <w:sz w:val="17"/>
              </w:rPr>
              <w:t>Medium</w:t>
            </w:r>
          </w:p>
        </w:tc>
        <w:tc>
          <w:tcPr>
            <w:tcW w:type="dxa" w:w="2045"/>
            <w:vAlign w:val="center"/>
          </w:tcPr>
          <w:p>
            <w:r/>
            <w:r>
              <w:rPr>
                <w:b w:val="0"/>
                <w:sz w:val="17"/>
              </w:rPr>
              <w:t>High</w:t>
            </w:r>
          </w:p>
        </w:tc>
        <w:tc>
          <w:tcPr>
            <w:tcW w:type="dxa" w:w="2045"/>
            <w:vAlign w:val="center"/>
          </w:tcPr>
          <w:p>
            <w:r/>
            <w:r>
              <w:rPr>
                <w:b w:val="0"/>
                <w:sz w:val="17"/>
              </w:rPr>
              <w:t>Store original unit plus standardized unit; validate conversion formulas.</w:t>
            </w:r>
          </w:p>
        </w:tc>
      </w:tr>
      <w:tr>
        <w:tc>
          <w:tcPr>
            <w:tcW w:type="dxa" w:w="2045"/>
            <w:vAlign w:val="center"/>
          </w:tcPr>
          <w:p>
            <w:r/>
            <w:r>
              <w:rPr>
                <w:b w:val="0"/>
                <w:sz w:val="17"/>
              </w:rPr>
              <w:t>R6</w:t>
            </w:r>
          </w:p>
        </w:tc>
        <w:tc>
          <w:tcPr>
            <w:tcW w:type="dxa" w:w="2045"/>
            <w:vAlign w:val="center"/>
          </w:tcPr>
          <w:p>
            <w:r/>
            <w:r>
              <w:rPr>
                <w:b w:val="0"/>
                <w:sz w:val="17"/>
              </w:rPr>
              <w:t>Outliers caused by real events</w:t>
            </w:r>
          </w:p>
        </w:tc>
        <w:tc>
          <w:tcPr>
            <w:tcW w:type="dxa" w:w="2045"/>
            <w:vAlign w:val="center"/>
          </w:tcPr>
          <w:p>
            <w:r/>
            <w:r>
              <w:rPr>
                <w:b w:val="0"/>
                <w:sz w:val="17"/>
              </w:rPr>
              <w:t>Medium</w:t>
            </w:r>
          </w:p>
        </w:tc>
        <w:tc>
          <w:tcPr>
            <w:tcW w:type="dxa" w:w="2045"/>
            <w:vAlign w:val="center"/>
          </w:tcPr>
          <w:p>
            <w:r/>
            <w:r>
              <w:rPr>
                <w:b w:val="0"/>
                <w:sz w:val="17"/>
              </w:rPr>
              <w:t>Medium</w:t>
            </w:r>
          </w:p>
        </w:tc>
        <w:tc>
          <w:tcPr>
            <w:tcW w:type="dxa" w:w="2045"/>
            <w:vAlign w:val="center"/>
          </w:tcPr>
          <w:p>
            <w:r/>
            <w:r>
              <w:rPr>
                <w:b w:val="0"/>
                <w:sz w:val="17"/>
              </w:rPr>
              <w:t>Investigate before removal; compare with source notes and adjacent observations.</w:t>
            </w:r>
          </w:p>
        </w:tc>
      </w:tr>
      <w:tr>
        <w:tc>
          <w:tcPr>
            <w:tcW w:type="dxa" w:w="2045"/>
            <w:vAlign w:val="center"/>
          </w:tcPr>
          <w:p>
            <w:r/>
            <w:r>
              <w:rPr>
                <w:b w:val="0"/>
                <w:sz w:val="17"/>
              </w:rPr>
              <w:t>R7</w:t>
            </w:r>
          </w:p>
        </w:tc>
        <w:tc>
          <w:tcPr>
            <w:tcW w:type="dxa" w:w="2045"/>
            <w:vAlign w:val="center"/>
          </w:tcPr>
          <w:p>
            <w:r/>
            <w:r>
              <w:rPr>
                <w:b w:val="0"/>
                <w:sz w:val="17"/>
              </w:rPr>
              <w:t>Low granularity for some indicators</w:t>
            </w:r>
          </w:p>
        </w:tc>
        <w:tc>
          <w:tcPr>
            <w:tcW w:type="dxa" w:w="2045"/>
            <w:vAlign w:val="center"/>
          </w:tcPr>
          <w:p>
            <w:r/>
            <w:r>
              <w:rPr>
                <w:b w:val="0"/>
                <w:sz w:val="17"/>
              </w:rPr>
              <w:t>Medium</w:t>
            </w:r>
          </w:p>
        </w:tc>
        <w:tc>
          <w:tcPr>
            <w:tcW w:type="dxa" w:w="2045"/>
            <w:vAlign w:val="center"/>
          </w:tcPr>
          <w:p>
            <w:r/>
            <w:r>
              <w:rPr>
                <w:b w:val="0"/>
                <w:sz w:val="17"/>
              </w:rPr>
              <w:t>Medium</w:t>
            </w:r>
          </w:p>
        </w:tc>
        <w:tc>
          <w:tcPr>
            <w:tcW w:type="dxa" w:w="2045"/>
            <w:vAlign w:val="center"/>
          </w:tcPr>
          <w:p>
            <w:r/>
            <w:r>
              <w:rPr>
                <w:b w:val="0"/>
                <w:sz w:val="17"/>
              </w:rPr>
              <w:t>Use aggregation appropriate to the source; avoid false precision; identify data gaps as findings.</w:t>
            </w:r>
          </w:p>
        </w:tc>
      </w:tr>
      <w:tr>
        <w:tc>
          <w:tcPr>
            <w:tcW w:type="dxa" w:w="2045"/>
            <w:vAlign w:val="center"/>
          </w:tcPr>
          <w:p>
            <w:r/>
            <w:r>
              <w:rPr>
                <w:b w:val="0"/>
                <w:sz w:val="17"/>
              </w:rPr>
              <w:t>R8</w:t>
            </w:r>
          </w:p>
        </w:tc>
        <w:tc>
          <w:tcPr>
            <w:tcW w:type="dxa" w:w="2045"/>
            <w:vAlign w:val="center"/>
          </w:tcPr>
          <w:p>
            <w:r/>
            <w:r>
              <w:rPr>
                <w:b w:val="0"/>
                <w:sz w:val="17"/>
              </w:rPr>
              <w:t>Overinterpretation/correlation ≠ causation</w:t>
            </w:r>
          </w:p>
        </w:tc>
        <w:tc>
          <w:tcPr>
            <w:tcW w:type="dxa" w:w="2045"/>
            <w:vAlign w:val="center"/>
          </w:tcPr>
          <w:p>
            <w:r/>
            <w:r>
              <w:rPr>
                <w:b w:val="0"/>
                <w:sz w:val="17"/>
              </w:rPr>
              <w:t>Medium</w:t>
            </w:r>
          </w:p>
        </w:tc>
        <w:tc>
          <w:tcPr>
            <w:tcW w:type="dxa" w:w="2045"/>
            <w:vAlign w:val="center"/>
          </w:tcPr>
          <w:p>
            <w:r/>
            <w:r>
              <w:rPr>
                <w:b w:val="0"/>
                <w:sz w:val="17"/>
              </w:rPr>
              <w:t>High</w:t>
            </w:r>
          </w:p>
        </w:tc>
        <w:tc>
          <w:tcPr>
            <w:tcW w:type="dxa" w:w="2045"/>
            <w:vAlign w:val="center"/>
          </w:tcPr>
          <w:p>
            <w:r/>
            <w:r>
              <w:rPr>
                <w:b w:val="0"/>
                <w:sz w:val="17"/>
              </w:rPr>
              <w:t>Use cautious language; reserve causal analysis for designs that support it.</w:t>
            </w:r>
          </w:p>
        </w:tc>
      </w:tr>
      <w:tr>
        <w:tc>
          <w:tcPr>
            <w:tcW w:type="dxa" w:w="2045"/>
            <w:vAlign w:val="center"/>
          </w:tcPr>
          <w:p>
            <w:r/>
            <w:r>
              <w:rPr>
                <w:b w:val="0"/>
                <w:sz w:val="17"/>
              </w:rPr>
              <w:t>R9</w:t>
            </w:r>
          </w:p>
        </w:tc>
        <w:tc>
          <w:tcPr>
            <w:tcW w:type="dxa" w:w="2045"/>
            <w:vAlign w:val="center"/>
          </w:tcPr>
          <w:p>
            <w:r/>
            <w:r>
              <w:rPr>
                <w:b w:val="0"/>
                <w:sz w:val="17"/>
              </w:rPr>
              <w:t>Reproducibility problems</w:t>
            </w:r>
          </w:p>
        </w:tc>
        <w:tc>
          <w:tcPr>
            <w:tcW w:type="dxa" w:w="2045"/>
            <w:vAlign w:val="center"/>
          </w:tcPr>
          <w:p>
            <w:r/>
            <w:r>
              <w:rPr>
                <w:b w:val="0"/>
                <w:sz w:val="17"/>
              </w:rPr>
              <w:t>Medium</w:t>
            </w:r>
          </w:p>
        </w:tc>
        <w:tc>
          <w:tcPr>
            <w:tcW w:type="dxa" w:w="2045"/>
            <w:vAlign w:val="center"/>
          </w:tcPr>
          <w:p>
            <w:r/>
            <w:r>
              <w:rPr>
                <w:b w:val="0"/>
                <w:sz w:val="17"/>
              </w:rPr>
              <w:t>High</w:t>
            </w:r>
          </w:p>
        </w:tc>
        <w:tc>
          <w:tcPr>
            <w:tcW w:type="dxa" w:w="2045"/>
            <w:vAlign w:val="center"/>
          </w:tcPr>
          <w:p>
            <w:r/>
            <w:r>
              <w:rPr>
                <w:b w:val="0"/>
                <w:sz w:val="17"/>
              </w:rPr>
              <w:t>Maintain raw/processed separation, source log, code/readme, version/date and transformation log.</w:t>
            </w:r>
          </w:p>
        </w:tc>
      </w:tr>
      <w:tr>
        <w:tc>
          <w:tcPr>
            <w:tcW w:type="dxa" w:w="2045"/>
            <w:vAlign w:val="center"/>
          </w:tcPr>
          <w:p>
            <w:r/>
            <w:r>
              <w:rPr>
                <w:b w:val="0"/>
                <w:sz w:val="17"/>
              </w:rPr>
              <w:t>R10</w:t>
            </w:r>
          </w:p>
        </w:tc>
        <w:tc>
          <w:tcPr>
            <w:tcW w:type="dxa" w:w="2045"/>
            <w:vAlign w:val="center"/>
          </w:tcPr>
          <w:p>
            <w:r/>
            <w:r>
              <w:rPr>
                <w:b w:val="0"/>
                <w:sz w:val="17"/>
              </w:rPr>
              <w:t>Scope expansion</w:t>
            </w:r>
          </w:p>
        </w:tc>
        <w:tc>
          <w:tcPr>
            <w:tcW w:type="dxa" w:w="2045"/>
            <w:vAlign w:val="center"/>
          </w:tcPr>
          <w:p>
            <w:r/>
            <w:r>
              <w:rPr>
                <w:b w:val="0"/>
                <w:sz w:val="17"/>
              </w:rPr>
              <w:t>Medium</w:t>
            </w:r>
          </w:p>
        </w:tc>
        <w:tc>
          <w:tcPr>
            <w:tcW w:type="dxa" w:w="2045"/>
            <w:vAlign w:val="center"/>
          </w:tcPr>
          <w:p>
            <w:r/>
            <w:r>
              <w:rPr>
                <w:b w:val="0"/>
                <w:sz w:val="17"/>
              </w:rPr>
              <w:t>Medium</w:t>
            </w:r>
          </w:p>
        </w:tc>
        <w:tc>
          <w:tcPr>
            <w:tcW w:type="dxa" w:w="2045"/>
            <w:vAlign w:val="center"/>
          </w:tcPr>
          <w:p>
            <w:r/>
            <w:r>
              <w:rPr>
                <w:b w:val="0"/>
                <w:sz w:val="17"/>
              </w:rPr>
              <w:t>Freeze Week 1 scope; prioritize high-value datasets and defer optional modelling.</w:t>
            </w:r>
          </w:p>
        </w:tc>
      </w:tr>
    </w:tbl>
    <w:p>
      <w:pPr>
        <w:pStyle w:val="Heading1"/>
        <w:spacing w:before="180" w:after="80"/>
      </w:pPr>
      <w:r>
        <w:t>11. Quality &amp; Evaluation Criteria</w:t>
      </w:r>
    </w:p>
    <w:p>
      <w:pPr>
        <w:pStyle w:val="ListBullet"/>
      </w:pPr>
      <w:r>
        <w:t>Clarity: every objective maps to a measurable output.</w:t>
      </w:r>
    </w:p>
    <w:p>
      <w:pPr>
        <w:pStyle w:val="ListBullet"/>
      </w:pPr>
      <w:r>
        <w:t>Depth: source inventory covers government, market, international, research and contextual evidence.</w:t>
      </w:r>
    </w:p>
    <w:p>
      <w:pPr>
        <w:pStyle w:val="ListBullet"/>
      </w:pPr>
      <w:r>
        <w:t>Feasibility: methods are realistic for public data and the available 30–35 hour Week 1 window.</w:t>
      </w:r>
    </w:p>
    <w:p>
      <w:pPr>
        <w:pStyle w:val="ListBullet"/>
      </w:pPr>
      <w:r>
        <w:t>Reproducibility: sources, dates, definitions, transformations and assumptions are documented.</w:t>
      </w:r>
    </w:p>
    <w:p>
      <w:pPr>
        <w:pStyle w:val="ListBullet"/>
      </w:pPr>
      <w:r>
        <w:t>Analytical validity: metrics are defined before analysis and causal claims are avoided unless justified.</w:t>
      </w:r>
    </w:p>
    <w:p>
      <w:pPr>
        <w:pStyle w:val="ListBullet"/>
      </w:pPr>
      <w:r>
        <w:t>Time management: 34 hours are explicitly allocated across research, methodology, risk, documentation and QA.</w:t>
      </w:r>
    </w:p>
    <w:p>
      <w:pPr>
        <w:pStyle w:val="ListBullet"/>
      </w:pPr>
      <w:r>
        <w:t>Future usefulness: outputs create reusable foundations for later data collection, EDA, modelling and dashboard work.</w:t>
      </w:r>
    </w:p>
    <w:p>
      <w:pPr>
        <w:pStyle w:val="Heading1"/>
        <w:spacing w:before="180" w:after="80"/>
      </w:pPr>
      <w:r>
        <w:t>12. Week 1 Milestones &amp; Acceptance Criteria</w:t>
      </w:r>
    </w:p>
    <w:tbl>
      <w:tblPr>
        <w:tblStyle w:val="TableGrid"/>
        <w:tblW w:type="auto" w:w="0"/>
        <w:tblLook w:firstColumn="1" w:firstRow="1" w:lastColumn="0" w:lastRow="0" w:noHBand="0" w:noVBand="1" w:val="04A0"/>
      </w:tblPr>
      <w:tblGrid>
        <w:gridCol w:w="5112"/>
        <w:gridCol w:w="5112"/>
      </w:tblGrid>
      <w:tr>
        <w:tc>
          <w:tcPr>
            <w:tcW w:type="dxa" w:w="5112"/>
            <w:vAlign w:val="center"/>
            <w:shd w:fill="D9EAF7"/>
          </w:tcPr>
          <w:p>
            <w:r/>
            <w:r>
              <w:rPr>
                <w:b/>
                <w:sz w:val="17"/>
              </w:rPr>
              <w:t>Milestone</w:t>
            </w:r>
          </w:p>
        </w:tc>
        <w:tc>
          <w:tcPr>
            <w:tcW w:type="dxa" w:w="5112"/>
            <w:vAlign w:val="center"/>
            <w:shd w:fill="D9EAF7"/>
          </w:tcPr>
          <w:p>
            <w:r/>
            <w:r>
              <w:rPr>
                <w:b/>
                <w:sz w:val="17"/>
              </w:rPr>
              <w:t>Acceptance criterion</w:t>
            </w:r>
          </w:p>
        </w:tc>
      </w:tr>
      <w:tr>
        <w:tc>
          <w:tcPr>
            <w:tcW w:type="dxa" w:w="5112"/>
            <w:vAlign w:val="center"/>
          </w:tcPr>
          <w:p>
            <w:r/>
            <w:r>
              <w:rPr>
                <w:b/>
                <w:sz w:val="17"/>
              </w:rPr>
              <w:t>M1</w:t>
            </w:r>
          </w:p>
        </w:tc>
        <w:tc>
          <w:tcPr>
            <w:tcW w:type="dxa" w:w="5112"/>
            <w:vAlign w:val="center"/>
          </w:tcPr>
          <w:p>
            <w:r/>
            <w:r>
              <w:rPr>
                <w:b w:val="0"/>
                <w:sz w:val="17"/>
              </w:rPr>
              <w:t>Research scope frozen</w:t>
            </w:r>
          </w:p>
        </w:tc>
      </w:tr>
      <w:tr>
        <w:tc>
          <w:tcPr>
            <w:tcW w:type="dxa" w:w="5112"/>
            <w:vAlign w:val="center"/>
          </w:tcPr>
          <w:p>
            <w:r/>
            <w:r>
              <w:rPr>
                <w:b/>
                <w:sz w:val="17"/>
              </w:rPr>
              <w:t>M2</w:t>
            </w:r>
          </w:p>
        </w:tc>
        <w:tc>
          <w:tcPr>
            <w:tcW w:type="dxa" w:w="5112"/>
            <w:vAlign w:val="center"/>
          </w:tcPr>
          <w:p>
            <w:r/>
            <w:r>
              <w:rPr>
                <w:b w:val="0"/>
                <w:sz w:val="17"/>
              </w:rPr>
              <w:t>Source map completed</w:t>
            </w:r>
          </w:p>
        </w:tc>
      </w:tr>
      <w:tr>
        <w:tc>
          <w:tcPr>
            <w:tcW w:type="dxa" w:w="5112"/>
            <w:vAlign w:val="center"/>
          </w:tcPr>
          <w:p>
            <w:r/>
            <w:r>
              <w:rPr>
                <w:b/>
                <w:sz w:val="17"/>
              </w:rPr>
              <w:t>M3</w:t>
            </w:r>
          </w:p>
        </w:tc>
        <w:tc>
          <w:tcPr>
            <w:tcW w:type="dxa" w:w="5112"/>
            <w:vAlign w:val="center"/>
          </w:tcPr>
          <w:p>
            <w:r/>
            <w:r>
              <w:rPr>
                <w:b w:val="0"/>
                <w:sz w:val="17"/>
              </w:rPr>
              <w:t>KPI framework completed</w:t>
            </w:r>
          </w:p>
        </w:tc>
      </w:tr>
      <w:tr>
        <w:tc>
          <w:tcPr>
            <w:tcW w:type="dxa" w:w="5112"/>
            <w:vAlign w:val="center"/>
          </w:tcPr>
          <w:p>
            <w:r/>
            <w:r>
              <w:rPr>
                <w:b/>
                <w:sz w:val="17"/>
              </w:rPr>
              <w:t>M4</w:t>
            </w:r>
          </w:p>
        </w:tc>
        <w:tc>
          <w:tcPr>
            <w:tcW w:type="dxa" w:w="5112"/>
            <w:vAlign w:val="center"/>
          </w:tcPr>
          <w:p>
            <w:r/>
            <w:r>
              <w:rPr>
                <w:b w:val="0"/>
                <w:sz w:val="17"/>
              </w:rPr>
              <w:t>Methodology approved</w:t>
            </w:r>
          </w:p>
        </w:tc>
      </w:tr>
      <w:tr>
        <w:tc>
          <w:tcPr>
            <w:tcW w:type="dxa" w:w="5112"/>
            <w:vAlign w:val="center"/>
          </w:tcPr>
          <w:p>
            <w:r/>
            <w:r>
              <w:rPr>
                <w:b/>
                <w:sz w:val="17"/>
              </w:rPr>
              <w:t>M5</w:t>
            </w:r>
          </w:p>
        </w:tc>
        <w:tc>
          <w:tcPr>
            <w:tcW w:type="dxa" w:w="5112"/>
            <w:vAlign w:val="center"/>
          </w:tcPr>
          <w:p>
            <w:r/>
            <w:r>
              <w:rPr>
                <w:b w:val="0"/>
                <w:sz w:val="17"/>
              </w:rPr>
              <w:t>Risk register completed</w:t>
            </w:r>
          </w:p>
        </w:tc>
      </w:tr>
      <w:tr>
        <w:tc>
          <w:tcPr>
            <w:tcW w:type="dxa" w:w="5112"/>
            <w:vAlign w:val="center"/>
          </w:tcPr>
          <w:p>
            <w:r/>
            <w:r>
              <w:rPr>
                <w:b/>
                <w:sz w:val="17"/>
              </w:rPr>
              <w:t>M6</w:t>
            </w:r>
          </w:p>
        </w:tc>
        <w:tc>
          <w:tcPr>
            <w:tcW w:type="dxa" w:w="5112"/>
            <w:vAlign w:val="center"/>
          </w:tcPr>
          <w:p>
            <w:r/>
            <w:r>
              <w:rPr>
                <w:b w:val="0"/>
                <w:sz w:val="17"/>
              </w:rPr>
              <w:t>Final package QA</w:t>
            </w:r>
          </w:p>
        </w:tc>
      </w:tr>
    </w:tbl>
    <w:p>
      <w:pPr>
        <w:pStyle w:val="Heading1"/>
        <w:spacing w:before="180" w:after="80"/>
      </w:pPr>
      <w:r>
        <w:t>13. Recommended Week 2 Handoff</w:t>
      </w:r>
    </w:p>
    <w:p>
      <w:pPr>
        <w:pStyle w:val="ListNumber"/>
      </w:pPr>
      <w:r>
        <w:t>Select 1–2 crop families and 3–5 commodities for a focused pilot analysis.</w:t>
      </w:r>
    </w:p>
    <w:p>
      <w:pPr>
        <w:pStyle w:val="ListNumber"/>
      </w:pPr>
      <w:r>
        <w:t>Download and preserve raw DES/data.gov.in crop statistics and e-NAM market data for the selected scope.</w:t>
      </w:r>
    </w:p>
    <w:p>
      <w:pPr>
        <w:pStyle w:val="ListNumber"/>
      </w:pPr>
      <w:r>
        <w:t>Create a standardized data dictionary and validation rules.</w:t>
      </w:r>
    </w:p>
    <w:p>
      <w:pPr>
        <w:pStyle w:val="ListNumber"/>
      </w:pPr>
      <w:r>
        <w:t>Perform exploratory data analysis and generate the first trend/market charts.</w:t>
      </w:r>
    </w:p>
    <w:p>
      <w:pPr>
        <w:pStyle w:val="ListNumber"/>
      </w:pPr>
      <w:r>
        <w:t>Document data gaps discovered during extraction and revise the research questions only where necessary.</w:t>
      </w:r>
    </w:p>
    <w:p>
      <w:pPr>
        <w:pStyle w:val="ListNumber"/>
      </w:pPr>
      <w:r>
        <w:t>Begin a reproducible notebook/script structure so later analysis can be rerun with refreshed data.</w:t>
      </w:r>
    </w:p>
    <w:p>
      <w:pPr>
        <w:pStyle w:val="Heading1"/>
        <w:spacing w:before="180" w:after="80"/>
      </w:pPr>
      <w:r>
        <w:t>14. Source Notes &amp; References</w:t>
      </w:r>
    </w:p>
    <w:p>
      <w:r>
        <w:rPr>
          <w:b/>
        </w:rPr>
        <w:t xml:space="preserve">Department of Agriculture &amp; Farmers Welfare, ES&amp;E Division — </w:t>
      </w:r>
      <w:r>
        <w:t xml:space="preserve">Agriculture Statistics at a Glance and current agricultural estimates/MSP publications. </w:t>
      </w:r>
      <w:r>
        <w:t>https://desagri.gov.in/</w:t>
      </w:r>
    </w:p>
    <w:p>
      <w:r>
        <w:rPr>
          <w:b/>
        </w:rPr>
        <w:t xml:space="preserve">DES — </w:t>
      </w:r>
      <w:r>
        <w:t xml:space="preserve">Area, Production &amp; Yield Reports. </w:t>
      </w:r>
      <w:r>
        <w:t>https://data.desagri.gov.in/website/crops-apy-report-web</w:t>
      </w:r>
    </w:p>
    <w:p>
      <w:r>
        <w:rPr>
          <w:b/>
        </w:rPr>
        <w:t xml:space="preserve">Government of India OGD Platform — </w:t>
      </w:r>
      <w:r>
        <w:t xml:space="preserve">Agriculture sector catalogue and district-wise season-wise crop production datasets. </w:t>
      </w:r>
      <w:r>
        <w:t>https://data.gov.in/sector/agriculture</w:t>
      </w:r>
    </w:p>
    <w:p>
      <w:r>
        <w:rPr>
          <w:b/>
        </w:rPr>
        <w:t xml:space="preserve">e-NAM — </w:t>
      </w:r>
      <w:r>
        <w:t xml:space="preserve">Trade details, historical trade data and price dashboards. </w:t>
      </w:r>
      <w:r>
        <w:t>https://www.enam.gov.in/</w:t>
      </w:r>
    </w:p>
    <w:p>
      <w:r>
        <w:rPr>
          <w:b/>
        </w:rPr>
        <w:t xml:space="preserve">FAO — </w:t>
      </w:r>
      <w:r>
        <w:t xml:space="preserve">FAOSTAT agricultural production/value and producer-price data resources. </w:t>
      </w:r>
      <w:r>
        <w:t>https://www.fao.org/faostat/</w:t>
      </w:r>
    </w:p>
    <w:p>
      <w:r>
        <w:rPr>
          <w:b/>
        </w:rPr>
        <w:t xml:space="preserve">World Bank — </w:t>
      </w:r>
      <w:r>
        <w:t xml:space="preserve">World Development Indicators: Agriculture &amp; Rural Development. </w:t>
      </w:r>
      <w:r>
        <w:t>https://data.worldbank.org/</w:t>
      </w:r>
    </w:p>
    <w:p>
      <w:r>
        <w:rPr>
          <w:b/>
        </w:rPr>
        <w:t xml:space="preserve">ICAR — </w:t>
      </w:r>
      <w:r>
        <w:t xml:space="preserve">Annual reports, publication catalogue and coordinated agricultural research projects. </w:t>
      </w:r>
      <w:r>
        <w:t>https://www.icar.gov.in/</w:t>
      </w:r>
    </w:p>
    <w:p>
      <w:r>
        <w:rPr>
          <w:b/>
        </w:rPr>
        <w:t xml:space="preserve">MoSPI / NSSO — </w:t>
      </w:r>
      <w:r>
        <w:t xml:space="preserve">Situation Assessment of Agricultural Households and NSS reports. </w:t>
      </w:r>
      <w:r>
        <w:t>https://www.mospi.gov.in/</w:t>
      </w:r>
    </w:p>
    <w:p>
      <w:pPr>
        <w:pStyle w:val="Heading1"/>
        <w:spacing w:before="180" w:after="80"/>
      </w:pPr>
      <w:r>
        <w:t>Appendix A — Data Dictionary Starter</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D9EAF7"/>
          </w:tcPr>
          <w:p>
            <w:r/>
            <w:r>
              <w:rPr>
                <w:b/>
                <w:sz w:val="17"/>
              </w:rPr>
              <w:t>Field</w:t>
            </w:r>
          </w:p>
        </w:tc>
        <w:tc>
          <w:tcPr>
            <w:tcW w:type="dxa" w:w="2556"/>
            <w:vAlign w:val="center"/>
            <w:shd w:fill="D9EAF7"/>
          </w:tcPr>
          <w:p>
            <w:r/>
            <w:r>
              <w:rPr>
                <w:b/>
                <w:sz w:val="17"/>
              </w:rPr>
              <w:t>Meaning</w:t>
            </w:r>
          </w:p>
        </w:tc>
        <w:tc>
          <w:tcPr>
            <w:tcW w:type="dxa" w:w="2556"/>
            <w:vAlign w:val="center"/>
            <w:shd w:fill="D9EAF7"/>
          </w:tcPr>
          <w:p>
            <w:r/>
            <w:r>
              <w:rPr>
                <w:b/>
                <w:sz w:val="17"/>
              </w:rPr>
              <w:t>Type</w:t>
            </w:r>
          </w:p>
        </w:tc>
        <w:tc>
          <w:tcPr>
            <w:tcW w:type="dxa" w:w="2556"/>
            <w:vAlign w:val="center"/>
            <w:shd w:fill="D9EAF7"/>
          </w:tcPr>
          <w:p>
            <w:r/>
            <w:r>
              <w:rPr>
                <w:b/>
                <w:sz w:val="17"/>
              </w:rPr>
              <w:t>Rule</w:t>
            </w:r>
          </w:p>
        </w:tc>
      </w:tr>
      <w:tr>
        <w:tc>
          <w:tcPr>
            <w:tcW w:type="dxa" w:w="2556"/>
            <w:vAlign w:val="center"/>
          </w:tcPr>
          <w:p>
            <w:r/>
            <w:r>
              <w:rPr>
                <w:b w:val="0"/>
                <w:sz w:val="17"/>
              </w:rPr>
              <w:t>date/year</w:t>
            </w:r>
          </w:p>
        </w:tc>
        <w:tc>
          <w:tcPr>
            <w:tcW w:type="dxa" w:w="2556"/>
            <w:vAlign w:val="center"/>
          </w:tcPr>
          <w:p>
            <w:r/>
            <w:r>
              <w:rPr>
                <w:b w:val="0"/>
                <w:sz w:val="17"/>
              </w:rPr>
              <w:t>Time dimension</w:t>
            </w:r>
          </w:p>
        </w:tc>
        <w:tc>
          <w:tcPr>
            <w:tcW w:type="dxa" w:w="2556"/>
            <w:vAlign w:val="center"/>
          </w:tcPr>
          <w:p>
            <w:r/>
            <w:r>
              <w:rPr>
                <w:b w:val="0"/>
                <w:sz w:val="17"/>
              </w:rPr>
              <w:t>Date/year</w:t>
            </w:r>
          </w:p>
        </w:tc>
        <w:tc>
          <w:tcPr>
            <w:tcW w:type="dxa" w:w="2556"/>
            <w:vAlign w:val="center"/>
          </w:tcPr>
          <w:p>
            <w:r/>
            <w:r>
              <w:rPr>
                <w:b w:val="0"/>
                <w:sz w:val="17"/>
              </w:rPr>
              <w:t>Normalize to ISO date or integer year.</w:t>
            </w:r>
          </w:p>
        </w:tc>
      </w:tr>
      <w:tr>
        <w:tc>
          <w:tcPr>
            <w:tcW w:type="dxa" w:w="2556"/>
            <w:vAlign w:val="center"/>
          </w:tcPr>
          <w:p>
            <w:r/>
            <w:r>
              <w:rPr>
                <w:b w:val="0"/>
                <w:sz w:val="17"/>
              </w:rPr>
              <w:t>state</w:t>
            </w:r>
          </w:p>
        </w:tc>
        <w:tc>
          <w:tcPr>
            <w:tcW w:type="dxa" w:w="2556"/>
            <w:vAlign w:val="center"/>
          </w:tcPr>
          <w:p>
            <w:r/>
            <w:r>
              <w:rPr>
                <w:b w:val="0"/>
                <w:sz w:val="17"/>
              </w:rPr>
              <w:t>Geographic dimension</w:t>
            </w:r>
          </w:p>
        </w:tc>
        <w:tc>
          <w:tcPr>
            <w:tcW w:type="dxa" w:w="2556"/>
            <w:vAlign w:val="center"/>
          </w:tcPr>
          <w:p>
            <w:r/>
            <w:r>
              <w:rPr>
                <w:b w:val="0"/>
                <w:sz w:val="17"/>
              </w:rPr>
              <w:t>Text</w:t>
            </w:r>
          </w:p>
        </w:tc>
        <w:tc>
          <w:tcPr>
            <w:tcW w:type="dxa" w:w="2556"/>
            <w:vAlign w:val="center"/>
          </w:tcPr>
          <w:p>
            <w:r/>
            <w:r>
              <w:rPr>
                <w:b w:val="0"/>
                <w:sz w:val="17"/>
              </w:rPr>
              <w:t>Use a controlled state master.</w:t>
            </w:r>
          </w:p>
        </w:tc>
      </w:tr>
      <w:tr>
        <w:tc>
          <w:tcPr>
            <w:tcW w:type="dxa" w:w="2556"/>
            <w:vAlign w:val="center"/>
          </w:tcPr>
          <w:p>
            <w:r/>
            <w:r>
              <w:rPr>
                <w:b w:val="0"/>
                <w:sz w:val="17"/>
              </w:rPr>
              <w:t>district</w:t>
            </w:r>
          </w:p>
        </w:tc>
        <w:tc>
          <w:tcPr>
            <w:tcW w:type="dxa" w:w="2556"/>
            <w:vAlign w:val="center"/>
          </w:tcPr>
          <w:p>
            <w:r/>
            <w:r>
              <w:rPr>
                <w:b w:val="0"/>
                <w:sz w:val="17"/>
              </w:rPr>
              <w:t>Geographic dimension</w:t>
            </w:r>
          </w:p>
        </w:tc>
        <w:tc>
          <w:tcPr>
            <w:tcW w:type="dxa" w:w="2556"/>
            <w:vAlign w:val="center"/>
          </w:tcPr>
          <w:p>
            <w:r/>
            <w:r>
              <w:rPr>
                <w:b w:val="0"/>
                <w:sz w:val="17"/>
              </w:rPr>
              <w:t>Text</w:t>
            </w:r>
          </w:p>
        </w:tc>
        <w:tc>
          <w:tcPr>
            <w:tcW w:type="dxa" w:w="2556"/>
            <w:vAlign w:val="center"/>
          </w:tcPr>
          <w:p>
            <w:r/>
            <w:r>
              <w:rPr>
                <w:b w:val="0"/>
                <w:sz w:val="17"/>
              </w:rPr>
              <w:t>Validate spelling/renaming across years.</w:t>
            </w:r>
          </w:p>
        </w:tc>
      </w:tr>
      <w:tr>
        <w:tc>
          <w:tcPr>
            <w:tcW w:type="dxa" w:w="2556"/>
            <w:vAlign w:val="center"/>
          </w:tcPr>
          <w:p>
            <w:r/>
            <w:r>
              <w:rPr>
                <w:b w:val="0"/>
                <w:sz w:val="17"/>
              </w:rPr>
              <w:t>crop</w:t>
            </w:r>
          </w:p>
        </w:tc>
        <w:tc>
          <w:tcPr>
            <w:tcW w:type="dxa" w:w="2556"/>
            <w:vAlign w:val="center"/>
          </w:tcPr>
          <w:p>
            <w:r/>
            <w:r>
              <w:rPr>
                <w:b w:val="0"/>
                <w:sz w:val="17"/>
              </w:rPr>
              <w:t>Crop dimension</w:t>
            </w:r>
          </w:p>
        </w:tc>
        <w:tc>
          <w:tcPr>
            <w:tcW w:type="dxa" w:w="2556"/>
            <w:vAlign w:val="center"/>
          </w:tcPr>
          <w:p>
            <w:r/>
            <w:r>
              <w:rPr>
                <w:b w:val="0"/>
                <w:sz w:val="17"/>
              </w:rPr>
              <w:t>Text</w:t>
            </w:r>
          </w:p>
        </w:tc>
        <w:tc>
          <w:tcPr>
            <w:tcW w:type="dxa" w:w="2556"/>
            <w:vAlign w:val="center"/>
          </w:tcPr>
          <w:p>
            <w:r/>
            <w:r>
              <w:rPr>
                <w:b w:val="0"/>
                <w:sz w:val="17"/>
              </w:rPr>
              <w:t>Map source-specific crop names to canonical names.</w:t>
            </w:r>
          </w:p>
        </w:tc>
      </w:tr>
      <w:tr>
        <w:tc>
          <w:tcPr>
            <w:tcW w:type="dxa" w:w="2556"/>
            <w:vAlign w:val="center"/>
          </w:tcPr>
          <w:p>
            <w:r/>
            <w:r>
              <w:rPr>
                <w:b w:val="0"/>
                <w:sz w:val="17"/>
              </w:rPr>
              <w:t>season</w:t>
            </w:r>
          </w:p>
        </w:tc>
        <w:tc>
          <w:tcPr>
            <w:tcW w:type="dxa" w:w="2556"/>
            <w:vAlign w:val="center"/>
          </w:tcPr>
          <w:p>
            <w:r/>
            <w:r>
              <w:rPr>
                <w:b w:val="0"/>
                <w:sz w:val="17"/>
              </w:rPr>
              <w:t>Season</w:t>
            </w:r>
          </w:p>
        </w:tc>
        <w:tc>
          <w:tcPr>
            <w:tcW w:type="dxa" w:w="2556"/>
            <w:vAlign w:val="center"/>
          </w:tcPr>
          <w:p>
            <w:r/>
            <w:r>
              <w:rPr>
                <w:b w:val="0"/>
                <w:sz w:val="17"/>
              </w:rPr>
              <w:t>Text</w:t>
            </w:r>
          </w:p>
        </w:tc>
        <w:tc>
          <w:tcPr>
            <w:tcW w:type="dxa" w:w="2556"/>
            <w:vAlign w:val="center"/>
          </w:tcPr>
          <w:p>
            <w:r/>
            <w:r>
              <w:rPr>
                <w:b w:val="0"/>
                <w:sz w:val="17"/>
              </w:rPr>
              <w:t>Kharif/Rabi/other; preserve source value.</w:t>
            </w:r>
          </w:p>
        </w:tc>
      </w:tr>
      <w:tr>
        <w:tc>
          <w:tcPr>
            <w:tcW w:type="dxa" w:w="2556"/>
            <w:vAlign w:val="center"/>
          </w:tcPr>
          <w:p>
            <w:r/>
            <w:r>
              <w:rPr>
                <w:b w:val="0"/>
                <w:sz w:val="17"/>
              </w:rPr>
              <w:t>area_ha</w:t>
            </w:r>
          </w:p>
        </w:tc>
        <w:tc>
          <w:tcPr>
            <w:tcW w:type="dxa" w:w="2556"/>
            <w:vAlign w:val="center"/>
          </w:tcPr>
          <w:p>
            <w:r/>
            <w:r>
              <w:rPr>
                <w:b w:val="0"/>
                <w:sz w:val="17"/>
              </w:rPr>
              <w:t>Crop area</w:t>
            </w:r>
          </w:p>
        </w:tc>
        <w:tc>
          <w:tcPr>
            <w:tcW w:type="dxa" w:w="2556"/>
            <w:vAlign w:val="center"/>
          </w:tcPr>
          <w:p>
            <w:r/>
            <w:r>
              <w:rPr>
                <w:b w:val="0"/>
                <w:sz w:val="17"/>
              </w:rPr>
              <w:t>Numeric</w:t>
            </w:r>
          </w:p>
        </w:tc>
        <w:tc>
          <w:tcPr>
            <w:tcW w:type="dxa" w:w="2556"/>
            <w:vAlign w:val="center"/>
          </w:tcPr>
          <w:p>
            <w:r/>
            <w:r>
              <w:rPr>
                <w:b w:val="0"/>
                <w:sz w:val="17"/>
              </w:rPr>
              <w:t>Hectares; retain original field separately.</w:t>
            </w:r>
          </w:p>
        </w:tc>
      </w:tr>
      <w:tr>
        <w:tc>
          <w:tcPr>
            <w:tcW w:type="dxa" w:w="2556"/>
            <w:vAlign w:val="center"/>
          </w:tcPr>
          <w:p>
            <w:r/>
            <w:r>
              <w:rPr>
                <w:b w:val="0"/>
                <w:sz w:val="17"/>
              </w:rPr>
              <w:t>production_tonnes</w:t>
            </w:r>
          </w:p>
        </w:tc>
        <w:tc>
          <w:tcPr>
            <w:tcW w:type="dxa" w:w="2556"/>
            <w:vAlign w:val="center"/>
          </w:tcPr>
          <w:p>
            <w:r/>
            <w:r>
              <w:rPr>
                <w:b w:val="0"/>
                <w:sz w:val="17"/>
              </w:rPr>
              <w:t>Production</w:t>
            </w:r>
          </w:p>
        </w:tc>
        <w:tc>
          <w:tcPr>
            <w:tcW w:type="dxa" w:w="2556"/>
            <w:vAlign w:val="center"/>
          </w:tcPr>
          <w:p>
            <w:r/>
            <w:r>
              <w:rPr>
                <w:b w:val="0"/>
                <w:sz w:val="17"/>
              </w:rPr>
              <w:t>Numeric</w:t>
            </w:r>
          </w:p>
        </w:tc>
        <w:tc>
          <w:tcPr>
            <w:tcW w:type="dxa" w:w="2556"/>
            <w:vAlign w:val="center"/>
          </w:tcPr>
          <w:p>
            <w:r/>
            <w:r>
              <w:rPr>
                <w:b w:val="0"/>
                <w:sz w:val="17"/>
              </w:rPr>
              <w:t>Tonnes; verify source unit.</w:t>
            </w:r>
          </w:p>
        </w:tc>
      </w:tr>
      <w:tr>
        <w:tc>
          <w:tcPr>
            <w:tcW w:type="dxa" w:w="2556"/>
            <w:vAlign w:val="center"/>
          </w:tcPr>
          <w:p>
            <w:r/>
            <w:r>
              <w:rPr>
                <w:b w:val="0"/>
                <w:sz w:val="17"/>
              </w:rPr>
              <w:t>yield_t_per_ha</w:t>
            </w:r>
          </w:p>
        </w:tc>
        <w:tc>
          <w:tcPr>
            <w:tcW w:type="dxa" w:w="2556"/>
            <w:vAlign w:val="center"/>
          </w:tcPr>
          <w:p>
            <w:r/>
            <w:r>
              <w:rPr>
                <w:b w:val="0"/>
                <w:sz w:val="17"/>
              </w:rPr>
              <w:t>Productivity</w:t>
            </w:r>
          </w:p>
        </w:tc>
        <w:tc>
          <w:tcPr>
            <w:tcW w:type="dxa" w:w="2556"/>
            <w:vAlign w:val="center"/>
          </w:tcPr>
          <w:p>
            <w:r/>
            <w:r>
              <w:rPr>
                <w:b w:val="0"/>
                <w:sz w:val="17"/>
              </w:rPr>
              <w:t>Numeric</w:t>
            </w:r>
          </w:p>
        </w:tc>
        <w:tc>
          <w:tcPr>
            <w:tcW w:type="dxa" w:w="2556"/>
            <w:vAlign w:val="center"/>
          </w:tcPr>
          <w:p>
            <w:r/>
            <w:r>
              <w:rPr>
                <w:b w:val="0"/>
                <w:sz w:val="17"/>
              </w:rPr>
              <w:t>Production / area where definition permits.</w:t>
            </w:r>
          </w:p>
        </w:tc>
      </w:tr>
      <w:tr>
        <w:tc>
          <w:tcPr>
            <w:tcW w:type="dxa" w:w="2556"/>
            <w:vAlign w:val="center"/>
          </w:tcPr>
          <w:p>
            <w:r/>
            <w:r>
              <w:rPr>
                <w:b w:val="0"/>
                <w:sz w:val="17"/>
              </w:rPr>
              <w:t>commodity</w:t>
            </w:r>
          </w:p>
        </w:tc>
        <w:tc>
          <w:tcPr>
            <w:tcW w:type="dxa" w:w="2556"/>
            <w:vAlign w:val="center"/>
          </w:tcPr>
          <w:p>
            <w:r/>
            <w:r>
              <w:rPr>
                <w:b w:val="0"/>
                <w:sz w:val="17"/>
              </w:rPr>
              <w:t>Market dimension</w:t>
            </w:r>
          </w:p>
        </w:tc>
        <w:tc>
          <w:tcPr>
            <w:tcW w:type="dxa" w:w="2556"/>
            <w:vAlign w:val="center"/>
          </w:tcPr>
          <w:p>
            <w:r/>
            <w:r>
              <w:rPr>
                <w:b w:val="0"/>
                <w:sz w:val="17"/>
              </w:rPr>
              <w:t>Text</w:t>
            </w:r>
          </w:p>
        </w:tc>
        <w:tc>
          <w:tcPr>
            <w:tcW w:type="dxa" w:w="2556"/>
            <w:vAlign w:val="center"/>
          </w:tcPr>
          <w:p>
            <w:r/>
            <w:r>
              <w:rPr>
                <w:b w:val="0"/>
                <w:sz w:val="17"/>
              </w:rPr>
              <w:t>Canonical commodity name.</w:t>
            </w:r>
          </w:p>
        </w:tc>
      </w:tr>
      <w:tr>
        <w:tc>
          <w:tcPr>
            <w:tcW w:type="dxa" w:w="2556"/>
            <w:vAlign w:val="center"/>
          </w:tcPr>
          <w:p>
            <w:r/>
            <w:r>
              <w:rPr>
                <w:b w:val="0"/>
                <w:sz w:val="17"/>
              </w:rPr>
              <w:t>apmc</w:t>
            </w:r>
          </w:p>
        </w:tc>
        <w:tc>
          <w:tcPr>
            <w:tcW w:type="dxa" w:w="2556"/>
            <w:vAlign w:val="center"/>
          </w:tcPr>
          <w:p>
            <w:r/>
            <w:r>
              <w:rPr>
                <w:b w:val="0"/>
                <w:sz w:val="17"/>
              </w:rPr>
              <w:t>Market dimension</w:t>
            </w:r>
          </w:p>
        </w:tc>
        <w:tc>
          <w:tcPr>
            <w:tcW w:type="dxa" w:w="2556"/>
            <w:vAlign w:val="center"/>
          </w:tcPr>
          <w:p>
            <w:r/>
            <w:r>
              <w:rPr>
                <w:b w:val="0"/>
                <w:sz w:val="17"/>
              </w:rPr>
              <w:t>Text</w:t>
            </w:r>
          </w:p>
        </w:tc>
        <w:tc>
          <w:tcPr>
            <w:tcW w:type="dxa" w:w="2556"/>
            <w:vAlign w:val="center"/>
          </w:tcPr>
          <w:p>
            <w:r/>
            <w:r>
              <w:rPr>
                <w:b w:val="0"/>
                <w:sz w:val="17"/>
              </w:rPr>
              <w:t>Controlled market/APMC identifier.</w:t>
            </w:r>
          </w:p>
        </w:tc>
      </w:tr>
      <w:tr>
        <w:tc>
          <w:tcPr>
            <w:tcW w:type="dxa" w:w="2556"/>
            <w:vAlign w:val="center"/>
          </w:tcPr>
          <w:p>
            <w:r/>
            <w:r>
              <w:rPr>
                <w:b w:val="0"/>
                <w:sz w:val="17"/>
              </w:rPr>
              <w:t>min_price</w:t>
            </w:r>
          </w:p>
        </w:tc>
        <w:tc>
          <w:tcPr>
            <w:tcW w:type="dxa" w:w="2556"/>
            <w:vAlign w:val="center"/>
          </w:tcPr>
          <w:p>
            <w:r/>
            <w:r>
              <w:rPr>
                <w:b w:val="0"/>
                <w:sz w:val="17"/>
              </w:rPr>
              <w:t>Market price</w:t>
            </w:r>
          </w:p>
        </w:tc>
        <w:tc>
          <w:tcPr>
            <w:tcW w:type="dxa" w:w="2556"/>
            <w:vAlign w:val="center"/>
          </w:tcPr>
          <w:p>
            <w:r/>
            <w:r>
              <w:rPr>
                <w:b w:val="0"/>
                <w:sz w:val="17"/>
              </w:rPr>
              <w:t>Numeric</w:t>
            </w:r>
          </w:p>
        </w:tc>
        <w:tc>
          <w:tcPr>
            <w:tcW w:type="dxa" w:w="2556"/>
            <w:vAlign w:val="center"/>
          </w:tcPr>
          <w:p>
            <w:r/>
            <w:r>
              <w:rPr>
                <w:b w:val="0"/>
                <w:sz w:val="17"/>
              </w:rPr>
              <w:t>Retain source currency/unit.</w:t>
            </w:r>
          </w:p>
        </w:tc>
      </w:tr>
      <w:tr>
        <w:tc>
          <w:tcPr>
            <w:tcW w:type="dxa" w:w="2556"/>
            <w:vAlign w:val="center"/>
          </w:tcPr>
          <w:p>
            <w:r/>
            <w:r>
              <w:rPr>
                <w:b w:val="0"/>
                <w:sz w:val="17"/>
              </w:rPr>
              <w:t>modal_price</w:t>
            </w:r>
          </w:p>
        </w:tc>
        <w:tc>
          <w:tcPr>
            <w:tcW w:type="dxa" w:w="2556"/>
            <w:vAlign w:val="center"/>
          </w:tcPr>
          <w:p>
            <w:r/>
            <w:r>
              <w:rPr>
                <w:b w:val="0"/>
                <w:sz w:val="17"/>
              </w:rPr>
              <w:t>Market price</w:t>
            </w:r>
          </w:p>
        </w:tc>
        <w:tc>
          <w:tcPr>
            <w:tcW w:type="dxa" w:w="2556"/>
            <w:vAlign w:val="center"/>
          </w:tcPr>
          <w:p>
            <w:r/>
            <w:r>
              <w:rPr>
                <w:b w:val="0"/>
                <w:sz w:val="17"/>
              </w:rPr>
              <w:t>Numeric</w:t>
            </w:r>
          </w:p>
        </w:tc>
        <w:tc>
          <w:tcPr>
            <w:tcW w:type="dxa" w:w="2556"/>
            <w:vAlign w:val="center"/>
          </w:tcPr>
          <w:p>
            <w:r/>
            <w:r>
              <w:rPr>
                <w:b w:val="0"/>
                <w:sz w:val="17"/>
              </w:rPr>
              <w:t>Preferred central market price measure where appropriate.</w:t>
            </w:r>
          </w:p>
        </w:tc>
      </w:tr>
      <w:tr>
        <w:tc>
          <w:tcPr>
            <w:tcW w:type="dxa" w:w="2556"/>
            <w:vAlign w:val="center"/>
          </w:tcPr>
          <w:p>
            <w:r/>
            <w:r>
              <w:rPr>
                <w:b w:val="0"/>
                <w:sz w:val="17"/>
              </w:rPr>
              <w:t>max_price</w:t>
            </w:r>
          </w:p>
        </w:tc>
        <w:tc>
          <w:tcPr>
            <w:tcW w:type="dxa" w:w="2556"/>
            <w:vAlign w:val="center"/>
          </w:tcPr>
          <w:p>
            <w:r/>
            <w:r>
              <w:rPr>
                <w:b w:val="0"/>
                <w:sz w:val="17"/>
              </w:rPr>
              <w:t>Market price</w:t>
            </w:r>
          </w:p>
        </w:tc>
        <w:tc>
          <w:tcPr>
            <w:tcW w:type="dxa" w:w="2556"/>
            <w:vAlign w:val="center"/>
          </w:tcPr>
          <w:p>
            <w:r/>
            <w:r>
              <w:rPr>
                <w:b w:val="0"/>
                <w:sz w:val="17"/>
              </w:rPr>
              <w:t>Numeric</w:t>
            </w:r>
          </w:p>
        </w:tc>
        <w:tc>
          <w:tcPr>
            <w:tcW w:type="dxa" w:w="2556"/>
            <w:vAlign w:val="center"/>
          </w:tcPr>
          <w:p>
            <w:r/>
            <w:r>
              <w:rPr>
                <w:b w:val="0"/>
                <w:sz w:val="17"/>
              </w:rPr>
              <w:t>Retain source currency/unit.</w:t>
            </w:r>
          </w:p>
        </w:tc>
      </w:tr>
      <w:tr>
        <w:tc>
          <w:tcPr>
            <w:tcW w:type="dxa" w:w="2556"/>
            <w:vAlign w:val="center"/>
          </w:tcPr>
          <w:p>
            <w:r/>
            <w:r>
              <w:rPr>
                <w:b w:val="0"/>
                <w:sz w:val="17"/>
              </w:rPr>
              <w:t>arrival_qty</w:t>
            </w:r>
          </w:p>
        </w:tc>
        <w:tc>
          <w:tcPr>
            <w:tcW w:type="dxa" w:w="2556"/>
            <w:vAlign w:val="center"/>
          </w:tcPr>
          <w:p>
            <w:r/>
            <w:r>
              <w:rPr>
                <w:b w:val="0"/>
                <w:sz w:val="17"/>
              </w:rPr>
              <w:t>Market supply</w:t>
            </w:r>
          </w:p>
        </w:tc>
        <w:tc>
          <w:tcPr>
            <w:tcW w:type="dxa" w:w="2556"/>
            <w:vAlign w:val="center"/>
          </w:tcPr>
          <w:p>
            <w:r/>
            <w:r>
              <w:rPr>
                <w:b w:val="0"/>
                <w:sz w:val="17"/>
              </w:rPr>
              <w:t>Numeric</w:t>
            </w:r>
          </w:p>
        </w:tc>
        <w:tc>
          <w:tcPr>
            <w:tcW w:type="dxa" w:w="2556"/>
            <w:vAlign w:val="center"/>
          </w:tcPr>
          <w:p>
            <w:r/>
            <w:r>
              <w:rPr>
                <w:b w:val="0"/>
                <w:sz w:val="17"/>
              </w:rPr>
              <w:t>Retain source unit.</w:t>
            </w:r>
          </w:p>
        </w:tc>
      </w:tr>
      <w:tr>
        <w:tc>
          <w:tcPr>
            <w:tcW w:type="dxa" w:w="2556"/>
            <w:vAlign w:val="center"/>
          </w:tcPr>
          <w:p>
            <w:r/>
            <w:r>
              <w:rPr>
                <w:b w:val="0"/>
                <w:sz w:val="17"/>
              </w:rPr>
              <w:t>traded_qty</w:t>
            </w:r>
          </w:p>
        </w:tc>
        <w:tc>
          <w:tcPr>
            <w:tcW w:type="dxa" w:w="2556"/>
            <w:vAlign w:val="center"/>
          </w:tcPr>
          <w:p>
            <w:r/>
            <w:r>
              <w:rPr>
                <w:b w:val="0"/>
                <w:sz w:val="17"/>
              </w:rPr>
              <w:t>Market activity</w:t>
            </w:r>
          </w:p>
        </w:tc>
        <w:tc>
          <w:tcPr>
            <w:tcW w:type="dxa" w:w="2556"/>
            <w:vAlign w:val="center"/>
          </w:tcPr>
          <w:p>
            <w:r/>
            <w:r>
              <w:rPr>
                <w:b w:val="0"/>
                <w:sz w:val="17"/>
              </w:rPr>
              <w:t>Numeric</w:t>
            </w:r>
          </w:p>
        </w:tc>
        <w:tc>
          <w:tcPr>
            <w:tcW w:type="dxa" w:w="2556"/>
            <w:vAlign w:val="center"/>
          </w:tcPr>
          <w:p>
            <w:r/>
            <w:r>
              <w:rPr>
                <w:b w:val="0"/>
                <w:sz w:val="17"/>
              </w:rPr>
              <w:t>Retain source unit.</w:t>
            </w:r>
          </w:p>
        </w:tc>
      </w:tr>
      <w:tr>
        <w:tc>
          <w:tcPr>
            <w:tcW w:type="dxa" w:w="2556"/>
            <w:vAlign w:val="center"/>
          </w:tcPr>
          <w:p>
            <w:r/>
            <w:r>
              <w:rPr>
                <w:b w:val="0"/>
                <w:sz w:val="17"/>
              </w:rPr>
              <w:t>source_date</w:t>
            </w:r>
          </w:p>
        </w:tc>
        <w:tc>
          <w:tcPr>
            <w:tcW w:type="dxa" w:w="2556"/>
            <w:vAlign w:val="center"/>
          </w:tcPr>
          <w:p>
            <w:r/>
            <w:r>
              <w:rPr>
                <w:b w:val="0"/>
                <w:sz w:val="17"/>
              </w:rPr>
              <w:t>Provenance</w:t>
            </w:r>
          </w:p>
        </w:tc>
        <w:tc>
          <w:tcPr>
            <w:tcW w:type="dxa" w:w="2556"/>
            <w:vAlign w:val="center"/>
          </w:tcPr>
          <w:p>
            <w:r/>
            <w:r>
              <w:rPr>
                <w:b w:val="0"/>
                <w:sz w:val="17"/>
              </w:rPr>
              <w:t>Date</w:t>
            </w:r>
          </w:p>
        </w:tc>
        <w:tc>
          <w:tcPr>
            <w:tcW w:type="dxa" w:w="2556"/>
            <w:vAlign w:val="center"/>
          </w:tcPr>
          <w:p>
            <w:r/>
            <w:r>
              <w:rPr>
                <w:b w:val="0"/>
                <w:sz w:val="17"/>
              </w:rPr>
              <w:t>Date data/report was accessed or downloaded.</w:t>
            </w:r>
          </w:p>
        </w:tc>
      </w:tr>
    </w:tbl>
    <w:p>
      <w:pPr>
        <w:pStyle w:val="Heading1"/>
        <w:spacing w:before="180" w:after="80"/>
      </w:pPr>
      <w:r>
        <w:t>Appendix B — Submission Checklist</w:t>
      </w:r>
    </w:p>
    <w:p>
      <w:pPr>
        <w:pStyle w:val="ListBullet"/>
      </w:pPr>
      <w:r>
        <w:t>Main DOCX opens correctly and contains all required sections.</w:t>
      </w:r>
    </w:p>
    <w:p>
      <w:pPr>
        <w:pStyle w:val="ListBullet"/>
      </w:pPr>
      <w:r>
        <w:t>Research questions are specific and measurable.</w:t>
      </w:r>
    </w:p>
    <w:p>
      <w:pPr>
        <w:pStyle w:val="ListBullet"/>
      </w:pPr>
      <w:r>
        <w:t>Public data sources are identified and their relevance is justified.</w:t>
      </w:r>
    </w:p>
    <w:p>
      <w:pPr>
        <w:pStyle w:val="ListBullet"/>
      </w:pPr>
      <w:r>
        <w:t>Data extraction and cleaning methodology is documented.</w:t>
      </w:r>
    </w:p>
    <w:p>
      <w:pPr>
        <w:pStyle w:val="ListBullet"/>
      </w:pPr>
      <w:r>
        <w:t>KPI framework is included.</w:t>
      </w:r>
    </w:p>
    <w:p>
      <w:pPr>
        <w:pStyle w:val="ListBullet"/>
      </w:pPr>
      <w:r>
        <w:t>34-hour timeline is included and totals 30–35 hours.</w:t>
      </w:r>
    </w:p>
    <w:p>
      <w:pPr>
        <w:pStyle w:val="ListBullet"/>
      </w:pPr>
      <w:r>
        <w:t>Milestones and risk mitigation are included.</w:t>
      </w:r>
    </w:p>
    <w:p>
      <w:pPr>
        <w:pStyle w:val="ListBullet"/>
      </w:pPr>
      <w:r>
        <w:t>References contain official source names and access links.</w:t>
      </w:r>
    </w:p>
    <w:p>
      <w:pPr>
        <w:pStyle w:val="ListBullet"/>
      </w:pPr>
      <w:r>
        <w:t>Supporting files are organized in clearly named folders.</w:t>
      </w:r>
    </w:p>
    <w:p>
      <w:pPr>
        <w:pStyle w:val="ListBullet"/>
      </w:pPr>
      <w:r>
        <w:t>Raw/processed data are separated when actual datasets are subsequently downloaded.</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Agriculture Data Analysis Internship | Week 1 Research Plan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WEEK 1 • AGRICULTURE DATA ANALYSIS • STRATEGIC RESEARCH &amp;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