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Combined mammography and thermography for early breast cancer detection</w:t>
      </w:r>
    </w:p>
    <w:p>
      <w:pPr>
        <w:pStyle w:val="ListBullet"/>
      </w:pPr>
      <w:r>
        <w:t>Deep learning aligns two imaging modalities in a shared latent space</w:t>
      </w:r>
    </w:p>
    <w:p>
      <w:pPr>
        <w:pStyle w:val="ListBullet"/>
      </w:pPr>
      <w:r>
        <w:t>Fusion model reaches 94.5 percent accuracy for benign versus malignant</w:t>
      </w:r>
    </w:p>
    <w:p>
      <w:pPr>
        <w:pStyle w:val="ListBullet"/>
      </w:pPr>
      <w:r>
        <w:t>Accuracy holds at 93.1 percent when input images contain noise</w:t>
      </w:r>
    </w:p>
    <w:p>
      <w:pPr>
        <w:pStyle w:val="ListBullet"/>
      </w:pPr>
      <w:r>
        <w:t>Explainable model reveals which learned features drive each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