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B9811A"/>
          <w:spacing w:val="120"/>
          <w:sz w:val="22"/>
          <w:szCs w:val="22"/>
        </w:rPr>
        <w:t xml:space="preserve">REISBROCHURE</w:t>
      </w:r>
    </w:p>
    <w:p>
      <w:pPr>
        <w:spacing w:after="120"/>
      </w:pPr>
      <w:r>
        <w:rPr>
          <w:rFonts w:ascii="Georgia" w:cs="Georgia" w:eastAsia="Georgia" w:hAnsi="Georgia"/>
          <w:color w:val="1F4FA3"/>
          <w:sz w:val="132"/>
          <w:szCs w:val="132"/>
        </w:rPr>
        <w:t xml:space="preserve">Egypte</w:t>
      </w:r>
    </w:p>
    <w:p>
      <w:pPr>
        <w:pBdr>
          <w:bottom w:val="single" w:color="B9811A" w:sz="12" w:space="12"/>
        </w:pBdr>
        <w:spacing w:after="360"/>
      </w:pPr>
      <w:r>
        <w:rPr>
          <w:i/>
          <w:iCs/>
          <w:color w:val="59647A"/>
          <w:sz w:val="26"/>
          <w:szCs w:val="26"/>
        </w:rPr>
        <w:t xml:space="preserve">Arabische Republiek Egypte · Misr</w:t>
      </w:r>
    </w:p>
    <w:p>
      <w:pPr>
        <w:spacing w:after="400" w:line="320"/>
      </w:pPr>
      <w:r>
        <w:rPr>
          <w:sz w:val="24"/>
          <w:szCs w:val="24"/>
        </w:rPr>
        <w:t xml:space="preserve">Piramiden, tempels langs de Nijl en het koraal van de Rode Zee, op een vlucht van vier en een half uur van Brussel. Deze brochure helpt je gezin een reis plannen: waar Egypte ligt, hoe laat het er is, wanneer je best gaat en wat de grote bezienswaardigheden kosten.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tcBorders>
              <w:top w:val="single" w:color="FFFFFF" w:sz="12"/>
              <w:left w:val="single" w:color="FFFFFF" w:sz="12"/>
              <w:bottom w:val="single" w:color="FFFFFF" w:sz="12"/>
              <w:right w:val="single" w:color="FFFFFF" w:sz="12"/>
            </w:tcBorders>
            <w:shd w:fill="E3EBF8" w:color="auto" w:val="clear"/>
            <w:tcMar>
              <w:top w:type="dxa" w:w="120"/>
              <w:left w:type="dxa" w:w="160"/>
              <w:bottom w:type="dxa" w:w="120"/>
              <w:right w:type="dxa" w:w="160"/>
            </w:tcMar>
          </w:tcPr>
          <w:p>
            <w:pPr>
              <w:spacing w:after="20"/>
            </w:pPr>
            <w:r>
              <w:rPr>
                <w:b/>
                <w:bCs/>
                <w:color w:val="59647A"/>
                <w:spacing w:val="30"/>
                <w:sz w:val="15"/>
                <w:szCs w:val="15"/>
              </w:rPr>
              <w:t xml:space="preserve">HOOFDSTAD</w:t>
            </w:r>
          </w:p>
          <w:p>
            <w:pPr>
              <w:spacing w:after="0"/>
            </w:pPr>
            <w:r>
              <w:rPr>
                <w:b/>
                <w:bCs/>
                <w:color w:val="17233A"/>
                <w:sz w:val="22"/>
                <w:szCs w:val="22"/>
              </w:rPr>
              <w:t xml:space="preserve">Caïro</w:t>
            </w:r>
          </w:p>
        </w:tc>
        <w:tc>
          <w:tcPr>
            <w:tcW w:type="dxa" w:w="3212"/>
            <w:tcBorders>
              <w:top w:val="single" w:color="FFFFFF" w:sz="12"/>
              <w:left w:val="single" w:color="FFFFFF" w:sz="12"/>
              <w:bottom w:val="single" w:color="FFFFFF" w:sz="12"/>
              <w:right w:val="single" w:color="FFFFFF" w:sz="12"/>
            </w:tcBorders>
            <w:shd w:fill="E3EBF8" w:color="auto" w:val="clear"/>
            <w:tcMar>
              <w:top w:type="dxa" w:w="120"/>
              <w:left w:type="dxa" w:w="160"/>
              <w:bottom w:type="dxa" w:w="120"/>
              <w:right w:type="dxa" w:w="160"/>
            </w:tcMar>
          </w:tcPr>
          <w:p>
            <w:pPr>
              <w:spacing w:after="20"/>
            </w:pPr>
            <w:r>
              <w:rPr>
                <w:b/>
                <w:bCs/>
                <w:color w:val="59647A"/>
                <w:spacing w:val="30"/>
                <w:sz w:val="15"/>
                <w:szCs w:val="15"/>
              </w:rPr>
              <w:t xml:space="preserve">VLIEGTIJD</w:t>
            </w:r>
          </w:p>
          <w:p>
            <w:pPr>
              <w:spacing w:after="0"/>
            </w:pPr>
            <w:r>
              <w:rPr>
                <w:b/>
                <w:bCs/>
                <w:color w:val="17233A"/>
                <w:sz w:val="22"/>
                <w:szCs w:val="22"/>
              </w:rPr>
              <w:t xml:space="preserve">± 4u30 rechtstreeks</w:t>
            </w:r>
          </w:p>
        </w:tc>
        <w:tc>
          <w:tcPr>
            <w:tcW w:type="dxa" w:w="3212"/>
            <w:tcBorders>
              <w:top w:val="single" w:color="FFFFFF" w:sz="12"/>
              <w:left w:val="single" w:color="FFFFFF" w:sz="12"/>
              <w:bottom w:val="single" w:color="FFFFFF" w:sz="12"/>
              <w:right w:val="single" w:color="FFFFFF" w:sz="12"/>
            </w:tcBorders>
            <w:shd w:fill="E3EBF8" w:color="auto" w:val="clear"/>
            <w:tcMar>
              <w:top w:type="dxa" w:w="120"/>
              <w:left w:type="dxa" w:w="160"/>
              <w:bottom w:type="dxa" w:w="120"/>
              <w:right w:type="dxa" w:w="160"/>
            </w:tcMar>
          </w:tcPr>
          <w:p>
            <w:pPr>
              <w:spacing w:after="20"/>
            </w:pPr>
            <w:r>
              <w:rPr>
                <w:b/>
                <w:bCs/>
                <w:color w:val="59647A"/>
                <w:spacing w:val="30"/>
                <w:sz w:val="15"/>
                <w:szCs w:val="15"/>
              </w:rPr>
              <w:t xml:space="preserve">TIJDSVERSCHIL</w:t>
            </w:r>
          </w:p>
          <w:p>
            <w:pPr>
              <w:spacing w:after="0"/>
            </w:pPr>
            <w:r>
              <w:rPr>
                <w:b/>
                <w:bCs/>
                <w:color w:val="17233A"/>
                <w:sz w:val="22"/>
                <w:szCs w:val="22"/>
              </w:rPr>
              <w:t xml:space="preserve">meestal +1 uur</w:t>
            </w:r>
          </w:p>
        </w:tc>
      </w:tr>
      <w:tr>
        <w:tc>
          <w:tcPr>
            <w:tcW w:type="dxa" w:w="3212"/>
            <w:tcBorders>
              <w:top w:val="single" w:color="FFFFFF" w:sz="12"/>
              <w:left w:val="single" w:color="FFFFFF" w:sz="12"/>
              <w:bottom w:val="single" w:color="FFFFFF" w:sz="12"/>
              <w:right w:val="single" w:color="FFFFFF" w:sz="12"/>
            </w:tcBorders>
            <w:shd w:fill="E3EBF8" w:color="auto" w:val="clear"/>
            <w:tcMar>
              <w:top w:type="dxa" w:w="120"/>
              <w:left w:type="dxa" w:w="160"/>
              <w:bottom w:type="dxa" w:w="120"/>
              <w:right w:type="dxa" w:w="160"/>
            </w:tcMar>
          </w:tcPr>
          <w:p>
            <w:pPr>
              <w:spacing w:after="20"/>
            </w:pPr>
            <w:r>
              <w:rPr>
                <w:b/>
                <w:bCs/>
                <w:color w:val="59647A"/>
                <w:spacing w:val="30"/>
                <w:sz w:val="15"/>
                <w:szCs w:val="15"/>
              </w:rPr>
              <w:t xml:space="preserve">MUNT</w:t>
            </w:r>
          </w:p>
          <w:p>
            <w:pPr>
              <w:spacing w:after="0"/>
            </w:pPr>
            <w:r>
              <w:rPr>
                <w:b/>
                <w:bCs/>
                <w:color w:val="17233A"/>
                <w:sz w:val="22"/>
                <w:szCs w:val="22"/>
              </w:rPr>
              <w:t xml:space="preserve">Egyptisch pond (EGP)</w:t>
            </w:r>
          </w:p>
        </w:tc>
        <w:tc>
          <w:tcPr>
            <w:tcW w:type="dxa" w:w="3212"/>
            <w:tcBorders>
              <w:top w:val="single" w:color="FFFFFF" w:sz="12"/>
              <w:left w:val="single" w:color="FFFFFF" w:sz="12"/>
              <w:bottom w:val="single" w:color="FFFFFF" w:sz="12"/>
              <w:right w:val="single" w:color="FFFFFF" w:sz="12"/>
            </w:tcBorders>
            <w:shd w:fill="E3EBF8" w:color="auto" w:val="clear"/>
            <w:tcMar>
              <w:top w:type="dxa" w:w="120"/>
              <w:left w:type="dxa" w:w="160"/>
              <w:bottom w:type="dxa" w:w="120"/>
              <w:right w:type="dxa" w:w="160"/>
            </w:tcMar>
          </w:tcPr>
          <w:p>
            <w:pPr>
              <w:spacing w:after="20"/>
            </w:pPr>
            <w:r>
              <w:rPr>
                <w:b/>
                <w:bCs/>
                <w:color w:val="59647A"/>
                <w:spacing w:val="30"/>
                <w:sz w:val="15"/>
                <w:szCs w:val="15"/>
              </w:rPr>
              <w:t xml:space="preserve">TAAL</w:t>
            </w:r>
          </w:p>
          <w:p>
            <w:pPr>
              <w:spacing w:after="0"/>
            </w:pPr>
            <w:r>
              <w:rPr>
                <w:b/>
                <w:bCs/>
                <w:color w:val="17233A"/>
                <w:sz w:val="22"/>
                <w:szCs w:val="22"/>
              </w:rPr>
              <w:t xml:space="preserve">Arabisch</w:t>
            </w:r>
          </w:p>
        </w:tc>
        <w:tc>
          <w:tcPr>
            <w:tcW w:type="dxa" w:w="3212"/>
            <w:tcBorders>
              <w:top w:val="single" w:color="FFFFFF" w:sz="12"/>
              <w:left w:val="single" w:color="FFFFFF" w:sz="12"/>
              <w:bottom w:val="single" w:color="FFFFFF" w:sz="12"/>
              <w:right w:val="single" w:color="FFFFFF" w:sz="12"/>
            </w:tcBorders>
            <w:shd w:fill="E3EBF8" w:color="auto" w:val="clear"/>
            <w:tcMar>
              <w:top w:type="dxa" w:w="120"/>
              <w:left w:type="dxa" w:w="160"/>
              <w:bottom w:type="dxa" w:w="120"/>
              <w:right w:type="dxa" w:w="160"/>
            </w:tcMar>
          </w:tcPr>
          <w:p>
            <w:pPr>
              <w:spacing w:after="20"/>
            </w:pPr>
            <w:r>
              <w:rPr>
                <w:b/>
                <w:bCs/>
                <w:color w:val="59647A"/>
                <w:spacing w:val="30"/>
                <w:sz w:val="15"/>
                <w:szCs w:val="15"/>
              </w:rPr>
              <w:t xml:space="preserve">BESTE REISTIJD</w:t>
            </w:r>
          </w:p>
          <w:p>
            <w:pPr>
              <w:spacing w:after="0"/>
            </w:pPr>
            <w:r>
              <w:rPr>
                <w:b/>
                <w:bCs/>
                <w:color w:val="17233A"/>
                <w:sz w:val="22"/>
                <w:szCs w:val="22"/>
              </w:rPr>
              <w:t xml:space="preserve">oktober – april</w:t>
            </w:r>
          </w:p>
        </w:tc>
      </w:tr>
    </w:tbl>
    <w:p>
      <w:pPr>
        <w:spacing w:after="600"/>
      </w:pPr>
    </w:p>
    <w:p>
      <w:pPr>
        <w:pStyle w:val="Heading2"/>
      </w:pPr>
      <w:r>
        <w:t xml:space="preserve">Inhoud</w:t>
      </w:r>
    </w:p>
    <w:p>
      <w:pPr>
        <w:spacing w:after="80"/>
      </w:pPr>
      <w:r>
        <w:rPr>
          <w:sz w:val="22"/>
          <w:szCs w:val="22"/>
        </w:rPr>
        <w:t xml:space="preserve">1  Situering tegenover België</w:t>
      </w:r>
    </w:p>
    <w:p>
      <w:pPr>
        <w:spacing w:after="80"/>
      </w:pPr>
      <w:r>
        <w:rPr>
          <w:sz w:val="22"/>
          <w:szCs w:val="22"/>
        </w:rPr>
        <w:t xml:space="preserve">2  Tijdzone en tijdsverschil</w:t>
      </w:r>
    </w:p>
    <w:p>
      <w:pPr>
        <w:spacing w:after="80"/>
      </w:pPr>
      <w:r>
        <w:rPr>
          <w:sz w:val="22"/>
          <w:szCs w:val="22"/>
        </w:rPr>
        <w:t xml:space="preserve">3  Seizoenen en klimaat</w:t>
      </w:r>
    </w:p>
    <w:p>
      <w:pPr>
        <w:spacing w:after="80"/>
      </w:pPr>
      <w:r>
        <w:rPr>
          <w:sz w:val="22"/>
          <w:szCs w:val="22"/>
        </w:rPr>
        <w:t xml:space="preserve">4  Bezienswaardigheden en kostprijs voor een gezin</w:t>
      </w:r>
    </w:p>
    <w:p>
      <w:pPr>
        <w:spacing w:after="80"/>
      </w:pPr>
      <w:r>
        <w:rPr>
          <w:sz w:val="22"/>
          <w:szCs w:val="22"/>
        </w:rPr>
        <w:t xml:space="preserve">5  Praktische info</w:t>
      </w:r>
    </w:p>
    <w:p>
      <w:r>
        <w:br w:type="page"/>
      </w:r>
    </w:p>
    <w:p>
      <w:pPr>
        <w:spacing w:after="40" w:before="120"/>
      </w:pPr>
      <w:r>
        <w:rPr>
          <w:b/>
          <w:bCs/>
          <w:color w:val="B9811A"/>
          <w:spacing w:val="40"/>
          <w:sz w:val="18"/>
          <w:szCs w:val="18"/>
        </w:rPr>
        <w:t xml:space="preserve">1 · SITUERING</w:t>
      </w:r>
    </w:p>
    <w:p>
      <w:pPr>
        <w:pStyle w:val="Heading1"/>
      </w:pPr>
      <w:r>
        <w:t xml:space="preserve">Waar ligt Egypte tegenover België?</w:t>
      </w:r>
    </w:p>
    <w:p>
      <w:pPr>
        <w:spacing w:after="200" w:line="300"/>
      </w:pPr>
      <w:r>
        <w:rPr>
          <w:color w:val="59647A"/>
          <w:sz w:val="24"/>
          <w:szCs w:val="24"/>
        </w:rPr>
        <w:t xml:space="preserve">Egypte ligt in de noordoostelijke hoek van Afrika, ongeveer 3.200 km in vogelvlucht ten zuidoosten van Brussel. De Middellandse Zee ligt ertussen.</w:t>
      </w:r>
    </w:p>
    <w:p>
      <w:pPr>
        <w:spacing w:after="60"/>
        <w:jc w:val="center"/>
      </w:pPr>
      <w:r>
        <w:drawing>
          <wp:inline distT="0" distB="0" distL="0" distR="0">
            <wp:extent cx="4953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4019550"/>
                    </a:xfrm>
                    <a:prstGeom prst="rect">
                      <a:avLst/>
                    </a:prstGeom>
                  </pic:spPr>
                </pic:pic>
              </a:graphicData>
            </a:graphic>
          </wp:inline>
        </w:drawing>
      </w:r>
    </w:p>
    <w:p>
      <w:pPr>
        <w:spacing w:after="240"/>
        <w:jc w:val="center"/>
      </w:pPr>
      <w:r>
        <w:rPr>
          <w:i/>
          <w:iCs/>
          <w:color w:val="59647A"/>
          <w:sz w:val="17"/>
          <w:szCs w:val="17"/>
        </w:rPr>
        <w:t xml:space="preserve">Schematische kaart. Elke lijn is 10 breedtegraden: Caïro ligt zo’n 21 graden zuidelijker dan Brussel.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19"/>
        <w:gridCol w:w="3519"/>
      </w:tblGrid>
      <w:tr>
        <w:trPr>
          <w:tblHeader/>
        </w:trPr>
        <w:tc>
          <w:tcPr>
            <w:tcW w:type="dxa" w:w="26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
            </w:r>
          </w:p>
        </w:tc>
        <w:tc>
          <w:tcPr>
            <w:tcW w:type="dxa" w:w="3519"/>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België</w:t>
            </w:r>
          </w:p>
        </w:tc>
        <w:tc>
          <w:tcPr>
            <w:tcW w:type="dxa" w:w="3519"/>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Egypte</w:t>
            </w:r>
          </w:p>
        </w:tc>
      </w:tr>
      <w:tr>
        <w:trPr>
          <w:cantSplit/>
        </w:trPr>
        <w:tc>
          <w:tcPr>
            <w:tcW w:type="dxa" w:w="26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Werelddeel</w:t>
            </w:r>
          </w:p>
        </w:tc>
        <w:tc>
          <w:tcPr>
            <w:tcW w:type="dxa" w:w="35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West-Europa</w:t>
            </w:r>
          </w:p>
        </w:tc>
        <w:tc>
          <w:tcPr>
            <w:tcW w:type="dxa" w:w="35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Noordoost-Afrika (Sinaï in Azië)</w:t>
            </w:r>
          </w:p>
        </w:tc>
      </w:tr>
      <w:tr>
        <w:trPr>
          <w:cantSplit/>
        </w:trPr>
        <w:tc>
          <w:tcPr>
            <w:tcW w:type="dxa" w:w="2600"/>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Oppervlakte</w:t>
            </w:r>
          </w:p>
        </w:tc>
        <w:tc>
          <w:tcPr>
            <w:tcW w:type="dxa" w:w="351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30.689 km²</w:t>
            </w:r>
          </w:p>
        </w:tc>
        <w:tc>
          <w:tcPr>
            <w:tcW w:type="dxa" w:w="351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 1.001.450 km²</w:t>
            </w:r>
          </w:p>
        </w:tc>
      </w:tr>
      <w:tr>
        <w:trPr>
          <w:cantSplit/>
        </w:trPr>
        <w:tc>
          <w:tcPr>
            <w:tcW w:type="dxa" w:w="26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Verhouding</w:t>
            </w:r>
          </w:p>
        </w:tc>
        <w:tc>
          <w:tcPr>
            <w:tcW w:type="dxa" w:w="7038"/>
            <w:gridSpan w:val="2"/>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b/>
                <w:bCs/>
                <w:sz w:val="19"/>
                <w:szCs w:val="19"/>
              </w:rPr>
              <w:t xml:space="preserve">Egypte is ongeveer 33 keer zo groot als België</w:t>
            </w:r>
          </w:p>
        </w:tc>
      </w:tr>
      <w:tr>
        <w:trPr>
          <w:cantSplit/>
        </w:trPr>
        <w:tc>
          <w:tcPr>
            <w:tcW w:type="dxa" w:w="2600"/>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Inwoners</w:t>
            </w:r>
          </w:p>
        </w:tc>
        <w:tc>
          <w:tcPr>
            <w:tcW w:type="dxa" w:w="351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 11,8 miljoen</w:t>
            </w:r>
          </w:p>
        </w:tc>
        <w:tc>
          <w:tcPr>
            <w:tcW w:type="dxa" w:w="351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 110 miljoen</w:t>
            </w:r>
          </w:p>
        </w:tc>
      </w:tr>
      <w:tr>
        <w:trPr>
          <w:cantSplit/>
        </w:trPr>
        <w:tc>
          <w:tcPr>
            <w:tcW w:type="dxa" w:w="26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Hoofdstad</w:t>
            </w:r>
          </w:p>
        </w:tc>
        <w:tc>
          <w:tcPr>
            <w:tcW w:type="dxa" w:w="35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Brussel</w:t>
            </w:r>
          </w:p>
        </w:tc>
        <w:tc>
          <w:tcPr>
            <w:tcW w:type="dxa" w:w="35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Caïro (± 22 miljoen in de regio)</w:t>
            </w:r>
          </w:p>
        </w:tc>
      </w:tr>
      <w:tr>
        <w:trPr>
          <w:cantSplit/>
        </w:trPr>
        <w:tc>
          <w:tcPr>
            <w:tcW w:type="dxa" w:w="2600"/>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Breedteligging</w:t>
            </w:r>
          </w:p>
        </w:tc>
        <w:tc>
          <w:tcPr>
            <w:tcW w:type="dxa" w:w="351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49,5° – 51,5° N</w:t>
            </w:r>
          </w:p>
        </w:tc>
        <w:tc>
          <w:tcPr>
            <w:tcW w:type="dxa" w:w="351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22° – 31,7° N</w:t>
            </w:r>
          </w:p>
        </w:tc>
      </w:tr>
      <w:tr>
        <w:trPr>
          <w:cantSplit/>
        </w:trPr>
        <w:tc>
          <w:tcPr>
            <w:tcW w:type="dxa" w:w="26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Lengteligging</w:t>
            </w:r>
          </w:p>
        </w:tc>
        <w:tc>
          <w:tcPr>
            <w:tcW w:type="dxa" w:w="35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2,5° – 6,4° O</w:t>
            </w:r>
          </w:p>
        </w:tc>
        <w:tc>
          <w:tcPr>
            <w:tcW w:type="dxa" w:w="35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25° – 36,9° O</w:t>
            </w:r>
          </w:p>
        </w:tc>
      </w:tr>
      <w:tr>
        <w:trPr>
          <w:cantSplit/>
        </w:trPr>
        <w:tc>
          <w:tcPr>
            <w:tcW w:type="dxa" w:w="2600"/>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Buurlanden</w:t>
            </w:r>
          </w:p>
        </w:tc>
        <w:tc>
          <w:tcPr>
            <w:tcW w:type="dxa" w:w="351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Nederland, Duitsland, Luxemburg, Frankrijk</w:t>
            </w:r>
          </w:p>
        </w:tc>
        <w:tc>
          <w:tcPr>
            <w:tcW w:type="dxa" w:w="351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Libië, Soedan, Israël, Gazastrook</w:t>
            </w:r>
          </w:p>
        </w:tc>
      </w:tr>
      <w:tr>
        <w:trPr>
          <w:cantSplit/>
        </w:trPr>
        <w:tc>
          <w:tcPr>
            <w:tcW w:type="dxa" w:w="26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Water</w:t>
            </w:r>
          </w:p>
        </w:tc>
        <w:tc>
          <w:tcPr>
            <w:tcW w:type="dxa" w:w="35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Noordzee</w:t>
            </w:r>
          </w:p>
        </w:tc>
        <w:tc>
          <w:tcPr>
            <w:tcW w:type="dxa" w:w="35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Middellandse Zee, Rode Zee, Nijl, Suezkanaal</w:t>
            </w:r>
          </w:p>
        </w:tc>
      </w:tr>
    </w:tbl>
    <w:p>
      <w:pPr>
        <w:spacing w:after="200"/>
      </w:pPr>
    </w:p>
    <w:p>
      <w:pPr>
        <w:pStyle w:val="Heading2"/>
      </w:pPr>
      <w:r>
        <w:t xml:space="preserve">Afstand en richting</w:t>
      </w:r>
    </w:p>
    <w:p>
      <w:pPr>
        <w:spacing w:after="120" w:line="288"/>
      </w:pPr>
      <w:r>
        <w:t xml:space="preserve">Brussel – Caïro is ongeveer 3.200 km in vogelvlucht, richting zuidoost. Naar de badsteden aan de Rode Zee is het iets verder: Hurghada ligt op ± 3.600 km en Sharm el-Sheikh op ± 3.500 km.</w:t>
      </w:r>
    </w:p>
    <w:p>
      <w:pPr>
        <w:pStyle w:val="Heading2"/>
      </w:pPr>
      <w:r>
        <w:t xml:space="preserve">Hoe kom je er?</w:t>
      </w:r>
    </w:p>
    <w:p>
      <w:pPr>
        <w:spacing w:after="120" w:line="288"/>
      </w:pPr>
      <w:r>
        <w:t xml:space="preserve">Rechtstreekse vluchten vertrekken vanuit Brussels Airport naar Caïro (± 4u30). Chartervluchten vertrekken vanuit Brussel, Charleroi, Antwerpen en Oostende naar Hurghada, Marsa Alam en Sharm el-Sheikh (± 4u45 tot 5u15). Naar Luxor of Aswan vlieg je meestal met een overstap in Caïro.</w:t>
      </w:r>
    </w:p>
    <w:p>
      <w:pPr>
        <w:pStyle w:val="Heading2"/>
      </w:pPr>
      <w:r>
        <w:t xml:space="preserve">Het land zelf</w:t>
      </w:r>
    </w:p>
    <w:p>
      <w:pPr>
        <w:spacing w:after="120" w:line="288"/>
      </w:pPr>
      <w:r>
        <w:t xml:space="preserve">Ongeveer 95% van Egypte is woestijn. Bijna alle inwoners wonen in de smalle groene strook langs de Nijl en in de Nijldelta. Daarom liggen ook de meeste bezienswaardigheden dicht bij de rivier.</w:t>
      </w:r>
    </w:p>
    <w:p>
      <w:pPr>
        <w:spacing w:after="360"/>
      </w:pPr>
    </w:p>
    <w:p>
      <w:pPr>
        <w:spacing w:after="40" w:before="120"/>
      </w:pPr>
      <w:r>
        <w:rPr>
          <w:b/>
          <w:bCs/>
          <w:color w:val="B9811A"/>
          <w:spacing w:val="40"/>
          <w:sz w:val="18"/>
          <w:szCs w:val="18"/>
        </w:rPr>
        <w:t xml:space="preserve">2 · TIJDZONE</w:t>
      </w:r>
    </w:p>
    <w:p>
      <w:pPr>
        <w:pStyle w:val="Heading1"/>
      </w:pPr>
      <w:r>
        <w:t xml:space="preserve">Hoe laat is het in Egypte?</w:t>
      </w:r>
    </w:p>
    <w:p>
      <w:pPr>
        <w:spacing w:after="200" w:line="300"/>
      </w:pPr>
      <w:r>
        <w:rPr>
          <w:color w:val="59647A"/>
          <w:sz w:val="24"/>
          <w:szCs w:val="24"/>
        </w:rPr>
        <w:t xml:space="preserve">Egypte loopt meestal 1 uur voor op België. Omdat beide landen op andere dagen de klok verzetten, is het verschil enkele weken per jaar 0 uur, en soms een paar dagen 2 uur.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19"/>
        <w:gridCol w:w="3519"/>
      </w:tblGrid>
      <w:tr>
        <w:trPr>
          <w:tblHeader/>
        </w:trPr>
        <w:tc>
          <w:tcPr>
            <w:tcW w:type="dxa" w:w="26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
            </w:r>
          </w:p>
        </w:tc>
        <w:tc>
          <w:tcPr>
            <w:tcW w:type="dxa" w:w="3519"/>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België</w:t>
            </w:r>
          </w:p>
        </w:tc>
        <w:tc>
          <w:tcPr>
            <w:tcW w:type="dxa" w:w="3519"/>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Egypte</w:t>
            </w:r>
          </w:p>
        </w:tc>
      </w:tr>
      <w:tr>
        <w:trPr>
          <w:cantSplit/>
        </w:trPr>
        <w:tc>
          <w:tcPr>
            <w:tcW w:type="dxa" w:w="26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Tijdzone</w:t>
            </w:r>
          </w:p>
        </w:tc>
        <w:tc>
          <w:tcPr>
            <w:tcW w:type="dxa" w:w="35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Midden-Europese Tijd (CET)</w:t>
            </w:r>
          </w:p>
        </w:tc>
        <w:tc>
          <w:tcPr>
            <w:tcW w:type="dxa" w:w="35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Oost-Europese Tijd (EET)</w:t>
            </w:r>
          </w:p>
        </w:tc>
      </w:tr>
      <w:tr>
        <w:trPr>
          <w:cantSplit/>
        </w:trPr>
        <w:tc>
          <w:tcPr>
            <w:tcW w:type="dxa" w:w="2600"/>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Wintertijd</w:t>
            </w:r>
          </w:p>
        </w:tc>
        <w:tc>
          <w:tcPr>
            <w:tcW w:type="dxa" w:w="351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UTC+1</w:t>
            </w:r>
          </w:p>
        </w:tc>
        <w:tc>
          <w:tcPr>
            <w:tcW w:type="dxa" w:w="351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UTC+2</w:t>
            </w:r>
          </w:p>
        </w:tc>
      </w:tr>
      <w:tr>
        <w:trPr>
          <w:cantSplit/>
        </w:trPr>
        <w:tc>
          <w:tcPr>
            <w:tcW w:type="dxa" w:w="26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Zomertijd</w:t>
            </w:r>
          </w:p>
        </w:tc>
        <w:tc>
          <w:tcPr>
            <w:tcW w:type="dxa" w:w="35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UTC+2 (CEST)</w:t>
            </w:r>
          </w:p>
        </w:tc>
        <w:tc>
          <w:tcPr>
            <w:tcW w:type="dxa" w:w="35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UTC+3 (EEST)</w:t>
            </w:r>
          </w:p>
        </w:tc>
      </w:tr>
      <w:tr>
        <w:trPr>
          <w:cantSplit/>
        </w:trPr>
        <w:tc>
          <w:tcPr>
            <w:tcW w:type="dxa" w:w="2600"/>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Klok vooruit</w:t>
            </w:r>
          </w:p>
        </w:tc>
        <w:tc>
          <w:tcPr>
            <w:tcW w:type="dxa" w:w="351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laatste zondag van maart</w:t>
            </w:r>
          </w:p>
        </w:tc>
        <w:tc>
          <w:tcPr>
            <w:tcW w:type="dxa" w:w="351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laatste vrijdag van april</w:t>
            </w:r>
          </w:p>
        </w:tc>
      </w:tr>
      <w:tr>
        <w:trPr>
          <w:cantSplit/>
        </w:trPr>
        <w:tc>
          <w:tcPr>
            <w:tcW w:type="dxa" w:w="26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Klok terug</w:t>
            </w:r>
          </w:p>
        </w:tc>
        <w:tc>
          <w:tcPr>
            <w:tcW w:type="dxa" w:w="35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laatste zondag van oktober</w:t>
            </w:r>
          </w:p>
        </w:tc>
        <w:tc>
          <w:tcPr>
            <w:tcW w:type="dxa" w:w="35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na de laatste donderdag van oktober</w:t>
            </w:r>
          </w:p>
        </w:tc>
      </w:tr>
    </w:tbl>
    <w:p>
      <w:pPr>
        <w:spacing w:after="200"/>
      </w:pPr>
    </w:p>
    <w:p>
      <w:pPr>
        <w:pStyle w:val="Heading2"/>
      </w:pPr>
      <w:r>
        <w:t xml:space="preserve">Het tijdsverschil doorheen het jaar</w:t>
      </w:r>
    </w:p>
    <w:p>
      <w:pPr>
        <w:spacing w:after="120" w:line="288"/>
      </w:pPr>
      <w:r>
        <w:t xml:space="preserve">In onderstaande tabellen zie je per periode hoeveel uur Egypte voorloopt. Groen = geen verschil, rood = 2 uur verschil.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900"/>
        <w:gridCol w:w="1900"/>
        <w:gridCol w:w="2438"/>
      </w:tblGrid>
      <w:tr>
        <w:trPr>
          <w:tblHeader/>
        </w:trPr>
        <w:tc>
          <w:tcPr>
            <w:tcW w:type="dxa" w:w="34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Periode 2026</w:t>
            </w:r>
          </w:p>
        </w:tc>
        <w:tc>
          <w:tcPr>
            <w:tcW w:type="dxa" w:w="19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België</w:t>
            </w:r>
          </w:p>
        </w:tc>
        <w:tc>
          <w:tcPr>
            <w:tcW w:type="dxa" w:w="19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Egypte</w:t>
            </w:r>
          </w:p>
        </w:tc>
        <w:tc>
          <w:tcPr>
            <w:tcW w:type="dxa" w:w="2438"/>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Tijdsverschil</w:t>
            </w:r>
          </w:p>
        </w:tc>
      </w:tr>
      <w:tr>
        <w:trPr>
          <w:cantSplit/>
        </w:trPr>
        <w:tc>
          <w:tcPr>
            <w:tcW w:type="dxa" w:w="3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1 januari – 28 maart</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UTC+1</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UTC+2</w:t>
            </w:r>
          </w:p>
        </w:tc>
        <w:tc>
          <w:tcPr>
            <w:tcW w:type="dxa" w:w="24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b w:val="false"/>
                <w:bCs w:val="false"/>
                <w:sz w:val="19"/>
                <w:szCs w:val="19"/>
              </w:rPr>
              <w:t xml:space="preserve">Egypte +1 uur</w:t>
            </w:r>
          </w:p>
        </w:tc>
      </w:tr>
      <w:tr>
        <w:trPr>
          <w:cantSplit/>
        </w:trPr>
        <w:tc>
          <w:tcPr>
            <w:tcW w:type="dxa" w:w="3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29 maart – 23 april</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UTC+2</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UTC+2</w:t>
            </w:r>
          </w:p>
        </w:tc>
        <w:tc>
          <w:tcPr>
            <w:tcW w:type="dxa" w:w="2438"/>
            <w:tcBorders>
              <w:top w:val="none" w:color="FFFFFF" w:sz="0"/>
              <w:left w:val="none" w:color="FFFFFF" w:sz="0"/>
              <w:bottom w:val="single" w:color="D9DDE3" w:sz="4"/>
              <w:right w:val="none" w:color="FFFFFF" w:sz="0"/>
            </w:tcBorders>
            <w:shd w:fill="DCF1EE" w:color="auto" w:val="clear"/>
            <w:tcMar>
              <w:top w:type="dxa" w:w="70"/>
              <w:left w:type="dxa" w:w="100"/>
              <w:bottom w:type="dxa" w:w="70"/>
              <w:right w:type="dxa" w:w="100"/>
            </w:tcMar>
            <w:vAlign w:val="center"/>
          </w:tcPr>
          <w:p>
            <w:pPr>
              <w:spacing w:after="0" w:line="260"/>
            </w:pPr>
            <w:r>
              <w:rPr>
                <w:b/>
                <w:bCs/>
                <w:sz w:val="19"/>
                <w:szCs w:val="19"/>
              </w:rPr>
              <w:t xml:space="preserve">geen verschil</w:t>
            </w:r>
          </w:p>
        </w:tc>
      </w:tr>
      <w:tr>
        <w:trPr>
          <w:cantSplit/>
        </w:trPr>
        <w:tc>
          <w:tcPr>
            <w:tcW w:type="dxa" w:w="3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24 april – 24 oktober</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UTC+2</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UTC+3</w:t>
            </w:r>
          </w:p>
        </w:tc>
        <w:tc>
          <w:tcPr>
            <w:tcW w:type="dxa" w:w="24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b w:val="false"/>
                <w:bCs w:val="false"/>
                <w:sz w:val="19"/>
                <w:szCs w:val="19"/>
              </w:rPr>
              <w:t xml:space="preserve">Egypte +1 uur</w:t>
            </w:r>
          </w:p>
        </w:tc>
      </w:tr>
      <w:tr>
        <w:trPr>
          <w:cantSplit/>
        </w:trPr>
        <w:tc>
          <w:tcPr>
            <w:tcW w:type="dxa" w:w="3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25 oktober – 29 oktober</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UTC+1</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UTC+3</w:t>
            </w:r>
          </w:p>
        </w:tc>
        <w:tc>
          <w:tcPr>
            <w:tcW w:type="dxa" w:w="2438"/>
            <w:tcBorders>
              <w:top w:val="none" w:color="FFFFFF" w:sz="0"/>
              <w:left w:val="none" w:color="FFFFFF" w:sz="0"/>
              <w:bottom w:val="single" w:color="D9DDE3" w:sz="4"/>
              <w:right w:val="none" w:color="FFFFFF" w:sz="0"/>
            </w:tcBorders>
            <w:shd w:fill="F8E1DA" w:color="auto" w:val="clear"/>
            <w:tcMar>
              <w:top w:type="dxa" w:w="70"/>
              <w:left w:type="dxa" w:w="100"/>
              <w:bottom w:type="dxa" w:w="70"/>
              <w:right w:type="dxa" w:w="100"/>
            </w:tcMar>
            <w:vAlign w:val="center"/>
          </w:tcPr>
          <w:p>
            <w:pPr>
              <w:spacing w:after="0" w:line="260"/>
            </w:pPr>
            <w:r>
              <w:rPr>
                <w:b/>
                <w:bCs/>
                <w:sz w:val="19"/>
                <w:szCs w:val="19"/>
              </w:rPr>
              <w:t xml:space="preserve">Egypte +2 uur</w:t>
            </w:r>
          </w:p>
        </w:tc>
      </w:tr>
      <w:tr>
        <w:trPr>
          <w:cantSplit/>
        </w:trPr>
        <w:tc>
          <w:tcPr>
            <w:tcW w:type="dxa" w:w="3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30 oktober – 31 december</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UTC+1</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UTC+2</w:t>
            </w:r>
          </w:p>
        </w:tc>
        <w:tc>
          <w:tcPr>
            <w:tcW w:type="dxa" w:w="24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b w:val="false"/>
                <w:bCs w:val="false"/>
                <w:sz w:val="19"/>
                <w:szCs w:val="19"/>
              </w:rPr>
              <w:t xml:space="preserve">Egypte +1 uur</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900"/>
        <w:gridCol w:w="1900"/>
        <w:gridCol w:w="2438"/>
      </w:tblGrid>
      <w:tr>
        <w:trPr>
          <w:tblHeader/>
        </w:trPr>
        <w:tc>
          <w:tcPr>
            <w:tcW w:type="dxa" w:w="34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Periode 2027</w:t>
            </w:r>
          </w:p>
        </w:tc>
        <w:tc>
          <w:tcPr>
            <w:tcW w:type="dxa" w:w="19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België</w:t>
            </w:r>
          </w:p>
        </w:tc>
        <w:tc>
          <w:tcPr>
            <w:tcW w:type="dxa" w:w="19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Egypte</w:t>
            </w:r>
          </w:p>
        </w:tc>
        <w:tc>
          <w:tcPr>
            <w:tcW w:type="dxa" w:w="2438"/>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Tijdsverschil</w:t>
            </w:r>
          </w:p>
        </w:tc>
      </w:tr>
      <w:tr>
        <w:trPr>
          <w:cantSplit/>
        </w:trPr>
        <w:tc>
          <w:tcPr>
            <w:tcW w:type="dxa" w:w="3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1 januari – 27 maart</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UTC+1</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UTC+2</w:t>
            </w:r>
          </w:p>
        </w:tc>
        <w:tc>
          <w:tcPr>
            <w:tcW w:type="dxa" w:w="24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b w:val="false"/>
                <w:bCs w:val="false"/>
                <w:sz w:val="19"/>
                <w:szCs w:val="19"/>
              </w:rPr>
              <w:t xml:space="preserve">Egypte +1 uur</w:t>
            </w:r>
          </w:p>
        </w:tc>
      </w:tr>
      <w:tr>
        <w:trPr>
          <w:cantSplit/>
        </w:trPr>
        <w:tc>
          <w:tcPr>
            <w:tcW w:type="dxa" w:w="3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28 maart – 29 april</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UTC+2</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UTC+2</w:t>
            </w:r>
          </w:p>
        </w:tc>
        <w:tc>
          <w:tcPr>
            <w:tcW w:type="dxa" w:w="2438"/>
            <w:tcBorders>
              <w:top w:val="none" w:color="FFFFFF" w:sz="0"/>
              <w:left w:val="none" w:color="FFFFFF" w:sz="0"/>
              <w:bottom w:val="single" w:color="D9DDE3" w:sz="4"/>
              <w:right w:val="none" w:color="FFFFFF" w:sz="0"/>
            </w:tcBorders>
            <w:shd w:fill="DCF1EE" w:color="auto" w:val="clear"/>
            <w:tcMar>
              <w:top w:type="dxa" w:w="70"/>
              <w:left w:type="dxa" w:w="100"/>
              <w:bottom w:type="dxa" w:w="70"/>
              <w:right w:type="dxa" w:w="100"/>
            </w:tcMar>
            <w:vAlign w:val="center"/>
          </w:tcPr>
          <w:p>
            <w:pPr>
              <w:spacing w:after="0" w:line="260"/>
            </w:pPr>
            <w:r>
              <w:rPr>
                <w:b/>
                <w:bCs/>
                <w:sz w:val="19"/>
                <w:szCs w:val="19"/>
              </w:rPr>
              <w:t xml:space="preserve">geen verschil</w:t>
            </w:r>
          </w:p>
        </w:tc>
      </w:tr>
      <w:tr>
        <w:trPr>
          <w:cantSplit/>
        </w:trPr>
        <w:tc>
          <w:tcPr>
            <w:tcW w:type="dxa" w:w="3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30 april – 28 oktober</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UTC+2</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UTC+3</w:t>
            </w:r>
          </w:p>
        </w:tc>
        <w:tc>
          <w:tcPr>
            <w:tcW w:type="dxa" w:w="24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b w:val="false"/>
                <w:bCs w:val="false"/>
                <w:sz w:val="19"/>
                <w:szCs w:val="19"/>
              </w:rPr>
              <w:t xml:space="preserve">Egypte +1 uur</w:t>
            </w:r>
          </w:p>
        </w:tc>
      </w:tr>
      <w:tr>
        <w:trPr>
          <w:cantSplit/>
        </w:trPr>
        <w:tc>
          <w:tcPr>
            <w:tcW w:type="dxa" w:w="3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29 oktober – 30 oktober</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UTC+2</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UTC+2</w:t>
            </w:r>
          </w:p>
        </w:tc>
        <w:tc>
          <w:tcPr>
            <w:tcW w:type="dxa" w:w="2438"/>
            <w:tcBorders>
              <w:top w:val="none" w:color="FFFFFF" w:sz="0"/>
              <w:left w:val="none" w:color="FFFFFF" w:sz="0"/>
              <w:bottom w:val="single" w:color="D9DDE3" w:sz="4"/>
              <w:right w:val="none" w:color="FFFFFF" w:sz="0"/>
            </w:tcBorders>
            <w:shd w:fill="DCF1EE" w:color="auto" w:val="clear"/>
            <w:tcMar>
              <w:top w:type="dxa" w:w="70"/>
              <w:left w:type="dxa" w:w="100"/>
              <w:bottom w:type="dxa" w:w="70"/>
              <w:right w:type="dxa" w:w="100"/>
            </w:tcMar>
            <w:vAlign w:val="center"/>
          </w:tcPr>
          <w:p>
            <w:pPr>
              <w:spacing w:after="0" w:line="260"/>
            </w:pPr>
            <w:r>
              <w:rPr>
                <w:b/>
                <w:bCs/>
                <w:sz w:val="19"/>
                <w:szCs w:val="19"/>
              </w:rPr>
              <w:t xml:space="preserve">geen verschil</w:t>
            </w:r>
          </w:p>
        </w:tc>
      </w:tr>
      <w:tr>
        <w:trPr>
          <w:cantSplit/>
        </w:trPr>
        <w:tc>
          <w:tcPr>
            <w:tcW w:type="dxa" w:w="3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31 oktober – 31 december</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UTC+1</w:t>
            </w:r>
          </w:p>
        </w:tc>
        <w:tc>
          <w:tcPr>
            <w:tcW w:type="dxa" w:w="19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UTC+2</w:t>
            </w:r>
          </w:p>
        </w:tc>
        <w:tc>
          <w:tcPr>
            <w:tcW w:type="dxa" w:w="24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b w:val="false"/>
                <w:bCs w:val="false"/>
                <w:sz w:val="19"/>
                <w:szCs w:val="19"/>
              </w:rPr>
              <w:t xml:space="preserve">Egypte +1 uur</w:t>
            </w:r>
          </w:p>
        </w:tc>
      </w:tr>
    </w:tbl>
    <w:p>
      <w:pPr>
        <w:spacing w:after="200"/>
      </w:pPr>
    </w:p>
    <w:p>
      <w:pPr>
        <w:pStyle w:val="Heading2"/>
      </w:pPr>
      <w:r>
        <w:t xml:space="preserve">Waarom het verschil schuift</w:t>
      </w:r>
    </w:p>
    <w:p>
      <w:pPr>
        <w:spacing w:after="120" w:line="288"/>
      </w:pPr>
      <w:r>
        <w:t xml:space="preserve">Normaal ligt Egypte één tijdzone oostelijker dan België, dus is het er één uur later. Maar België zet de klok al eind maart vooruit, terwijl Egypte (dat sinds 2023 opnieuw zomertijd heeft) pas eind april volgt. In die weken heeft België al zomertijd (UTC+2) en Egypte nog wintertijd (UTC+2): dan is het in beide landen even laat. In het najaar gebeurt soms het omgekeerde. Valt de Belgische terugschakeling vóór de Egyptische, zoals in 2026, dan loopt Egypte een paar dagen 2 uur voor.</w:t>
      </w:r>
    </w:p>
    <w:p>
      <w:pPr>
        <w:pStyle w:val="Heading2"/>
      </w:pPr>
      <w:r>
        <w:t xml:space="preserve">Klokvergelijking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2410"/>
        <w:gridCol w:w="2409"/>
        <w:gridCol w:w="2409"/>
      </w:tblGrid>
      <w:tr>
        <w:trPr>
          <w:tblHeader/>
        </w:trPr>
        <w:tc>
          <w:tcPr>
            <w:tcW w:type="dxa" w:w="241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center"/>
            </w:pPr>
            <w:r>
              <w:rPr>
                <w:b/>
                <w:bCs/>
                <w:color w:val="FFFFFF"/>
                <w:sz w:val="17"/>
                <w:szCs w:val="17"/>
              </w:rPr>
              <w:t xml:space="preserve">België (meestal)</w:t>
            </w:r>
          </w:p>
        </w:tc>
        <w:tc>
          <w:tcPr>
            <w:tcW w:type="dxa" w:w="241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center"/>
            </w:pPr>
            <w:r>
              <w:rPr>
                <w:b/>
                <w:bCs/>
                <w:color w:val="FFFFFF"/>
                <w:sz w:val="17"/>
                <w:szCs w:val="17"/>
              </w:rPr>
              <w:t xml:space="preserve">Egypte (+1 uur)</w:t>
            </w:r>
          </w:p>
        </w:tc>
        <w:tc>
          <w:tcPr>
            <w:tcW w:type="dxa" w:w="2409"/>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center"/>
            </w:pPr>
            <w:r>
              <w:rPr>
                <w:b/>
                <w:bCs/>
                <w:color w:val="FFFFFF"/>
                <w:sz w:val="17"/>
                <w:szCs w:val="17"/>
              </w:rPr>
              <w:t xml:space="preserve">België (25–29 okt 2026)</w:t>
            </w:r>
          </w:p>
        </w:tc>
        <w:tc>
          <w:tcPr>
            <w:tcW w:type="dxa" w:w="2409"/>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center"/>
            </w:pPr>
            <w:r>
              <w:rPr>
                <w:b/>
                <w:bCs/>
                <w:color w:val="FFFFFF"/>
                <w:sz w:val="17"/>
                <w:szCs w:val="17"/>
              </w:rPr>
              <w:t xml:space="preserve">Egypte (+2 uur)</w:t>
            </w:r>
          </w:p>
        </w:tc>
      </w:tr>
      <w:tr>
        <w:trPr>
          <w:cantSplit/>
        </w:trPr>
        <w:tc>
          <w:tcPr>
            <w:tcW w:type="dxa" w:w="241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center"/>
            </w:pPr>
            <w:r>
              <w:rPr>
                <w:sz w:val="19"/>
                <w:szCs w:val="19"/>
              </w:rPr>
              <w:t xml:space="preserve">07u00</w:t>
            </w:r>
          </w:p>
        </w:tc>
        <w:tc>
          <w:tcPr>
            <w:tcW w:type="dxa" w:w="241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center"/>
            </w:pPr>
            <w:r>
              <w:rPr>
                <w:sz w:val="19"/>
                <w:szCs w:val="19"/>
              </w:rPr>
              <w:t xml:space="preserve">08u00</w:t>
            </w:r>
          </w:p>
        </w:tc>
        <w:tc>
          <w:tcPr>
            <w:tcW w:type="dxa" w:w="240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center"/>
            </w:pPr>
            <w:r>
              <w:rPr>
                <w:sz w:val="19"/>
                <w:szCs w:val="19"/>
              </w:rPr>
              <w:t xml:space="preserve">07u00</w:t>
            </w:r>
          </w:p>
        </w:tc>
        <w:tc>
          <w:tcPr>
            <w:tcW w:type="dxa" w:w="240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center"/>
            </w:pPr>
            <w:r>
              <w:rPr>
                <w:sz w:val="19"/>
                <w:szCs w:val="19"/>
              </w:rPr>
              <w:t xml:space="preserve">09u00</w:t>
            </w:r>
          </w:p>
        </w:tc>
      </w:tr>
      <w:tr>
        <w:trPr>
          <w:cantSplit/>
        </w:trPr>
        <w:tc>
          <w:tcPr>
            <w:tcW w:type="dxa" w:w="2410"/>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jc w:val="center"/>
            </w:pPr>
            <w:r>
              <w:rPr>
                <w:sz w:val="19"/>
                <w:szCs w:val="19"/>
              </w:rPr>
              <w:t xml:space="preserve">09u00</w:t>
            </w:r>
          </w:p>
        </w:tc>
        <w:tc>
          <w:tcPr>
            <w:tcW w:type="dxa" w:w="2410"/>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jc w:val="center"/>
            </w:pPr>
            <w:r>
              <w:rPr>
                <w:sz w:val="19"/>
                <w:szCs w:val="19"/>
              </w:rPr>
              <w:t xml:space="preserve">10u00</w:t>
            </w:r>
          </w:p>
        </w:tc>
        <w:tc>
          <w:tcPr>
            <w:tcW w:type="dxa" w:w="240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jc w:val="center"/>
            </w:pPr>
            <w:r>
              <w:rPr>
                <w:sz w:val="19"/>
                <w:szCs w:val="19"/>
              </w:rPr>
              <w:t xml:space="preserve">09u00</w:t>
            </w:r>
          </w:p>
        </w:tc>
        <w:tc>
          <w:tcPr>
            <w:tcW w:type="dxa" w:w="240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jc w:val="center"/>
            </w:pPr>
            <w:r>
              <w:rPr>
                <w:sz w:val="19"/>
                <w:szCs w:val="19"/>
              </w:rPr>
              <w:t xml:space="preserve">11u00</w:t>
            </w:r>
          </w:p>
        </w:tc>
      </w:tr>
      <w:tr>
        <w:trPr>
          <w:cantSplit/>
        </w:trPr>
        <w:tc>
          <w:tcPr>
            <w:tcW w:type="dxa" w:w="241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center"/>
            </w:pPr>
            <w:r>
              <w:rPr>
                <w:sz w:val="19"/>
                <w:szCs w:val="19"/>
              </w:rPr>
              <w:t xml:space="preserve">12u00</w:t>
            </w:r>
          </w:p>
        </w:tc>
        <w:tc>
          <w:tcPr>
            <w:tcW w:type="dxa" w:w="241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center"/>
            </w:pPr>
            <w:r>
              <w:rPr>
                <w:sz w:val="19"/>
                <w:szCs w:val="19"/>
              </w:rPr>
              <w:t xml:space="preserve">13u00</w:t>
            </w:r>
          </w:p>
        </w:tc>
        <w:tc>
          <w:tcPr>
            <w:tcW w:type="dxa" w:w="240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center"/>
            </w:pPr>
            <w:r>
              <w:rPr>
                <w:sz w:val="19"/>
                <w:szCs w:val="19"/>
              </w:rPr>
              <w:t xml:space="preserve">12u00</w:t>
            </w:r>
          </w:p>
        </w:tc>
        <w:tc>
          <w:tcPr>
            <w:tcW w:type="dxa" w:w="240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center"/>
            </w:pPr>
            <w:r>
              <w:rPr>
                <w:sz w:val="19"/>
                <w:szCs w:val="19"/>
              </w:rPr>
              <w:t xml:space="preserve">14u00</w:t>
            </w:r>
          </w:p>
        </w:tc>
      </w:tr>
      <w:tr>
        <w:trPr>
          <w:cantSplit/>
        </w:trPr>
        <w:tc>
          <w:tcPr>
            <w:tcW w:type="dxa" w:w="2410"/>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jc w:val="center"/>
            </w:pPr>
            <w:r>
              <w:rPr>
                <w:sz w:val="19"/>
                <w:szCs w:val="19"/>
              </w:rPr>
              <w:t xml:space="preserve">15u00</w:t>
            </w:r>
          </w:p>
        </w:tc>
        <w:tc>
          <w:tcPr>
            <w:tcW w:type="dxa" w:w="2410"/>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jc w:val="center"/>
            </w:pPr>
            <w:r>
              <w:rPr>
                <w:sz w:val="19"/>
                <w:szCs w:val="19"/>
              </w:rPr>
              <w:t xml:space="preserve">16u00</w:t>
            </w:r>
          </w:p>
        </w:tc>
        <w:tc>
          <w:tcPr>
            <w:tcW w:type="dxa" w:w="240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jc w:val="center"/>
            </w:pPr>
            <w:r>
              <w:rPr>
                <w:sz w:val="19"/>
                <w:szCs w:val="19"/>
              </w:rPr>
              <w:t xml:space="preserve">15u00</w:t>
            </w:r>
          </w:p>
        </w:tc>
        <w:tc>
          <w:tcPr>
            <w:tcW w:type="dxa" w:w="240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jc w:val="center"/>
            </w:pPr>
            <w:r>
              <w:rPr>
                <w:sz w:val="19"/>
                <w:szCs w:val="19"/>
              </w:rPr>
              <w:t xml:space="preserve">17u00</w:t>
            </w:r>
          </w:p>
        </w:tc>
      </w:tr>
      <w:tr>
        <w:trPr>
          <w:cantSplit/>
        </w:trPr>
        <w:tc>
          <w:tcPr>
            <w:tcW w:type="dxa" w:w="241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center"/>
            </w:pPr>
            <w:r>
              <w:rPr>
                <w:sz w:val="19"/>
                <w:szCs w:val="19"/>
              </w:rPr>
              <w:t xml:space="preserve">18u00</w:t>
            </w:r>
          </w:p>
        </w:tc>
        <w:tc>
          <w:tcPr>
            <w:tcW w:type="dxa" w:w="241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center"/>
            </w:pPr>
            <w:r>
              <w:rPr>
                <w:sz w:val="19"/>
                <w:szCs w:val="19"/>
              </w:rPr>
              <w:t xml:space="preserve">19u00</w:t>
            </w:r>
          </w:p>
        </w:tc>
        <w:tc>
          <w:tcPr>
            <w:tcW w:type="dxa" w:w="240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center"/>
            </w:pPr>
            <w:r>
              <w:rPr>
                <w:sz w:val="19"/>
                <w:szCs w:val="19"/>
              </w:rPr>
              <w:t xml:space="preserve">18u00</w:t>
            </w:r>
          </w:p>
        </w:tc>
        <w:tc>
          <w:tcPr>
            <w:tcW w:type="dxa" w:w="240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center"/>
            </w:pPr>
            <w:r>
              <w:rPr>
                <w:sz w:val="19"/>
                <w:szCs w:val="19"/>
              </w:rPr>
              <w:t xml:space="preserve">20u00</w:t>
            </w:r>
          </w:p>
        </w:tc>
      </w:tr>
      <w:tr>
        <w:trPr>
          <w:cantSplit/>
        </w:trPr>
        <w:tc>
          <w:tcPr>
            <w:tcW w:type="dxa" w:w="2410"/>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jc w:val="center"/>
            </w:pPr>
            <w:r>
              <w:rPr>
                <w:sz w:val="19"/>
                <w:szCs w:val="19"/>
              </w:rPr>
              <w:t xml:space="preserve">21u00</w:t>
            </w:r>
          </w:p>
        </w:tc>
        <w:tc>
          <w:tcPr>
            <w:tcW w:type="dxa" w:w="2410"/>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jc w:val="center"/>
            </w:pPr>
            <w:r>
              <w:rPr>
                <w:sz w:val="19"/>
                <w:szCs w:val="19"/>
              </w:rPr>
              <w:t xml:space="preserve">22u00</w:t>
            </w:r>
          </w:p>
        </w:tc>
        <w:tc>
          <w:tcPr>
            <w:tcW w:type="dxa" w:w="240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jc w:val="center"/>
            </w:pPr>
            <w:r>
              <w:rPr>
                <w:sz w:val="19"/>
                <w:szCs w:val="19"/>
              </w:rPr>
              <w:t xml:space="preserve">21u00</w:t>
            </w:r>
          </w:p>
        </w:tc>
        <w:tc>
          <w:tcPr>
            <w:tcW w:type="dxa" w:w="240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jc w:val="center"/>
            </w:pPr>
            <w:r>
              <w:rPr>
                <w:sz w:val="19"/>
                <w:szCs w:val="19"/>
              </w:rPr>
              <w:t xml:space="preserve">23u00</w:t>
            </w:r>
          </w:p>
        </w:tc>
      </w:tr>
    </w:tbl>
    <w:p>
      <w:pPr>
        <w:spacing w:after="200"/>
      </w:pPr>
    </w:p>
    <w:p>
      <w:pPr>
        <w:pStyle w:val="Heading2"/>
      </w:pPr>
      <w:r>
        <w:t xml:space="preserve">Zon en klok</w:t>
      </w:r>
    </w:p>
    <w:p>
      <w:pPr>
        <w:spacing w:after="120" w:line="288"/>
      </w:pPr>
      <w:r>
        <w:t xml:space="preserve">Caïro ligt op 31° oosterlengte; de zon staat er rond 11u55 (wintertijd) op haar hoogste punt. Brussel ligt op 4° oosterlengte en gebruikt eigenlijk een tijdzone die te ver naar het oosten ligt: daar staat de zon pas rond 12u45 het hoogst. Daarom wordt het in Egypte ’s avonds vroeg donker: in december gaat de zon in Caïro onder rond 17u00 lokale tijd, dat is 16u00 in België.</w:t>
      </w:r>
    </w:p>
    <w:p>
      <w:pPr>
        <w:pStyle w:val="Heading2"/>
      </w:pPr>
      <w:r>
        <w:t xml:space="preserve">Daglengte</w:t>
      </w:r>
    </w:p>
    <w:p>
      <w:pPr>
        <w:spacing w:after="120" w:line="288"/>
      </w:pPr>
      <w:r>
        <w:t xml:space="preserve">Omdat Egypte dichter bij de evenaar ligt, schommelt de daglengte minder dan bij ons. In Caïro duurt een dag in december ± 10u15 en in juni ± 14u. In Brussel is dat ± 8u en ± 16u30. In de winter heb je in Egypte dus meer daglicht dan thuis.</w:t>
      </w:r>
    </w:p>
    <w:p>
      <w:pPr>
        <w:pStyle w:val="Heading2"/>
      </w:pPr>
      <w:r>
        <w:t xml:space="preserve">Jetlag?</w:t>
      </w:r>
    </w:p>
    <w:p>
      <w:pPr>
        <w:spacing w:after="120" w:line="288"/>
      </w:pPr>
      <w:r>
        <w:t xml:space="preserve">Met maximaal 2 uur verschil heb je geen jetlag. Wel gaan veel tempels vroeg open (vanaf 6u of 7u) en is het middaguur het heetst: plan bezoeken ’s morgens vroeg en laat in de namiddag, en rust rond de middag.</w:t>
      </w:r>
    </w:p>
    <w:p>
      <w:pPr>
        <w:pStyle w:val="Heading2"/>
      </w:pPr>
      <w:r>
        <w:t xml:space="preserve">Let op bij boekingen</w:t>
      </w:r>
    </w:p>
    <w:p>
      <w:pPr>
        <w:spacing w:after="120" w:line="288"/>
      </w:pPr>
      <w:r>
        <w:t xml:space="preserve">Vliegtickets tonen altijd de lokale tijd van vertrek en aankomst. Controleer in de weken rond eind maart, april en eind oktober extra goed je excursie- en transferuren. De Egyptische regering heeft de zomertijd in het verleden al vaker afgeschaft of verschoven; check dus vlak voor vertrek.</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9811A" w:sz="24"/>
              <w:bottom w:val="none" w:color="FFFFFF" w:sz="0"/>
              <w:right w:val="none" w:color="FFFFFF" w:sz="0"/>
            </w:tcBorders>
            <w:shd w:fill="F6EAD2" w:color="auto" w:val="clear"/>
            <w:tcMar>
              <w:top w:type="dxa" w:w="140"/>
              <w:left w:type="dxa" w:w="220"/>
              <w:bottom w:type="dxa" w:w="140"/>
              <w:right w:type="dxa" w:w="220"/>
            </w:tcMar>
          </w:tcPr>
          <w:p>
            <w:pPr>
              <w:spacing w:after="80"/>
            </w:pPr>
            <w:r>
              <w:rPr>
                <w:b/>
                <w:bCs/>
                <w:color w:val="B9811A"/>
              </w:rPr>
              <w:t xml:space="preserve">Rekenvoorbeeld (normaal verschil: +1 uur)</w:t>
            </w:r>
          </w:p>
          <w:p>
            <w:pPr>
              <w:spacing w:after="60" w:line="276"/>
            </w:pPr>
            <w:r>
              <w:t xml:space="preserve">Vertrek Brussels Airport: </w:t>
            </w:r>
            <w:r>
              <w:rPr>
                <w:b/>
                <w:bCs/>
              </w:rPr>
              <w:t xml:space="preserve">10u00 Belgische tijd</w:t>
            </w:r>
          </w:p>
          <w:p>
            <w:pPr>
              <w:spacing w:after="60" w:line="276"/>
            </w:pPr>
            <w:r>
              <w:t xml:space="preserve">Vliegtijd: </w:t>
            </w:r>
            <w:r>
              <w:rPr>
                <w:b/>
                <w:bCs/>
              </w:rPr>
              <w:t xml:space="preserve">4u30</w:t>
            </w:r>
          </w:p>
          <w:p>
            <w:pPr>
              <w:spacing w:after="60" w:line="276"/>
            </w:pPr>
            <w:r>
              <w:t xml:space="preserve">Aankomst in Caïro: 14u30 Belgische tijd = </w:t>
            </w:r>
            <w:r>
              <w:rPr>
                <w:b/>
                <w:bCs/>
              </w:rPr>
              <w:t xml:space="preserve">15u30 lokale tijd</w:t>
            </w:r>
          </w:p>
          <w:p>
            <w:pPr>
              <w:spacing w:after="60" w:line="276"/>
            </w:pPr>
            <w:r>
              <w:t xml:space="preserve">Naar huis bellen om 20u00 in België = </w:t>
            </w:r>
            <w:r>
              <w:rPr>
                <w:b/>
                <w:bCs/>
              </w:rPr>
              <w:t xml:space="preserve">21u00 in Egypte</w:t>
            </w:r>
          </w:p>
        </w:tc>
      </w:tr>
    </w:tbl>
    <w:p>
      <w:pPr>
        <w:spacing w:after="360"/>
      </w:pPr>
    </w:p>
    <w:p>
      <w:pPr>
        <w:spacing w:after="40" w:before="120"/>
      </w:pPr>
      <w:r>
        <w:rPr>
          <w:b/>
          <w:bCs/>
          <w:color w:val="B9811A"/>
          <w:spacing w:val="40"/>
          <w:sz w:val="18"/>
          <w:szCs w:val="18"/>
        </w:rPr>
        <w:t xml:space="preserve">3 · SEIZOENEN</w:t>
      </w:r>
    </w:p>
    <w:p>
      <w:pPr>
        <w:pStyle w:val="Heading1"/>
      </w:pPr>
      <w:r>
        <w:t xml:space="preserve">Wanneer ga je best?</w:t>
      </w:r>
    </w:p>
    <w:p>
      <w:pPr>
        <w:spacing w:after="200" w:line="300"/>
      </w:pPr>
      <w:r>
        <w:rPr>
          <w:color w:val="59647A"/>
          <w:sz w:val="24"/>
          <w:szCs w:val="24"/>
        </w:rPr>
        <w:t xml:space="preserve">Egypte ligt net als België op het noordelijk halfrond: als het bij ons winter is, is het daar ook winter. Maar de Egyptische winter voelt aan als een Belgische zomer, en de zomer is er bloedheet en kurkdroog.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950"/>
        <w:gridCol w:w="950"/>
        <w:gridCol w:w="1050"/>
        <w:gridCol w:w="1050"/>
        <w:gridCol w:w="1000"/>
        <w:gridCol w:w="1450"/>
        <w:gridCol w:w="1938"/>
      </w:tblGrid>
      <w:tr>
        <w:trPr>
          <w:tblHeader/>
        </w:trPr>
        <w:tc>
          <w:tcPr>
            <w:tcW w:type="dxa" w:w="125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Maand</w:t>
            </w:r>
          </w:p>
        </w:tc>
        <w:tc>
          <w:tcPr>
            <w:tcW w:type="dxa" w:w="95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Brussel</w:t>
            </w:r>
          </w:p>
        </w:tc>
        <w:tc>
          <w:tcPr>
            <w:tcW w:type="dxa" w:w="95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Caïro</w:t>
            </w:r>
          </w:p>
        </w:tc>
        <w:tc>
          <w:tcPr>
            <w:tcW w:type="dxa" w:w="105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Luxor</w:t>
            </w:r>
          </w:p>
        </w:tc>
        <w:tc>
          <w:tcPr>
            <w:tcW w:type="dxa" w:w="105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Hurghada</w:t>
            </w:r>
          </w:p>
        </w:tc>
        <w:tc>
          <w:tcPr>
            <w:tcW w:type="dxa" w:w="10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Zee</w:t>
            </w:r>
          </w:p>
        </w:tc>
        <w:tc>
          <w:tcPr>
            <w:tcW w:type="dxa" w:w="145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Vakantie (Vl.)</w:t>
            </w:r>
          </w:p>
        </w:tc>
        <w:tc>
          <w:tcPr>
            <w:tcW w:type="dxa" w:w="1938"/>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Advies</w:t>
            </w:r>
          </w:p>
        </w:tc>
      </w:tr>
      <w:tr>
        <w:trPr>
          <w:cantSplit/>
        </w:trPr>
        <w:tc>
          <w:tcPr>
            <w:tcW w:type="dxa" w:w="12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januari</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6°</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19°</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b w:val="false"/>
                <w:bCs w:val="false"/>
                <w:sz w:val="19"/>
                <w:szCs w:val="19"/>
              </w:rPr>
              <w:t xml:space="preserve">23°</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21°</w:t>
            </w:r>
          </w:p>
        </w:tc>
        <w:tc>
          <w:tcPr>
            <w:tcW w:type="dxa" w:w="10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22°</w:t>
            </w:r>
          </w:p>
        </w:tc>
        <w:tc>
          <w:tcPr>
            <w:tcW w:type="dxa" w:w="14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color w:val="59647A"/>
                <w:sz w:val="19"/>
                <w:szCs w:val="19"/>
              </w:rPr>
              <w:t xml:space="preserve">kerst (begin)</w:t>
            </w:r>
          </w:p>
        </w:tc>
        <w:tc>
          <w:tcPr>
            <w:tcW w:type="dxa" w:w="1938"/>
            <w:tcBorders>
              <w:top w:val="none" w:color="FFFFFF" w:sz="0"/>
              <w:left w:val="none" w:color="FFFFFF" w:sz="0"/>
              <w:bottom w:val="single" w:color="D9DDE3" w:sz="4"/>
              <w:right w:val="none" w:color="FFFFFF" w:sz="0"/>
            </w:tcBorders>
            <w:shd w:fill="DCF1EE" w:color="auto" w:val="clear"/>
            <w:tcMar>
              <w:top w:type="dxa" w:w="70"/>
              <w:left w:type="dxa" w:w="100"/>
              <w:bottom w:type="dxa" w:w="70"/>
              <w:right w:type="dxa" w:w="100"/>
            </w:tcMar>
            <w:vAlign w:val="center"/>
          </w:tcPr>
          <w:p>
            <w:pPr>
              <w:spacing w:after="0" w:line="260"/>
            </w:pPr>
            <w:r>
              <w:rPr>
                <w:b/>
                <w:bCs/>
                <w:sz w:val="19"/>
                <w:szCs w:val="19"/>
              </w:rPr>
              <w:t xml:space="preserve">ideaal voor cultuur</w:t>
            </w:r>
          </w:p>
        </w:tc>
      </w:tr>
      <w:tr>
        <w:trPr>
          <w:cantSplit/>
        </w:trPr>
        <w:tc>
          <w:tcPr>
            <w:tcW w:type="dxa" w:w="12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februari</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7°</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20°</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b w:val="false"/>
                <w:bCs w:val="false"/>
                <w:sz w:val="19"/>
                <w:szCs w:val="19"/>
              </w:rPr>
              <w:t xml:space="preserve">25°</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22°</w:t>
            </w:r>
          </w:p>
        </w:tc>
        <w:tc>
          <w:tcPr>
            <w:tcW w:type="dxa" w:w="10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21°</w:t>
            </w:r>
          </w:p>
        </w:tc>
        <w:tc>
          <w:tcPr>
            <w:tcW w:type="dxa" w:w="14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color w:val="59647A"/>
                <w:sz w:val="19"/>
                <w:szCs w:val="19"/>
              </w:rPr>
              <w:t xml:space="preserve">krokus</w:t>
            </w:r>
          </w:p>
        </w:tc>
        <w:tc>
          <w:tcPr>
            <w:tcW w:type="dxa" w:w="1938"/>
            <w:tcBorders>
              <w:top w:val="none" w:color="FFFFFF" w:sz="0"/>
              <w:left w:val="none" w:color="FFFFFF" w:sz="0"/>
              <w:bottom w:val="single" w:color="D9DDE3" w:sz="4"/>
              <w:right w:val="none" w:color="FFFFFF" w:sz="0"/>
            </w:tcBorders>
            <w:shd w:fill="DCF1EE" w:color="auto" w:val="clear"/>
            <w:tcMar>
              <w:top w:type="dxa" w:w="70"/>
              <w:left w:type="dxa" w:w="100"/>
              <w:bottom w:type="dxa" w:w="70"/>
              <w:right w:type="dxa" w:w="100"/>
            </w:tcMar>
            <w:vAlign w:val="center"/>
          </w:tcPr>
          <w:p>
            <w:pPr>
              <w:spacing w:after="0" w:line="260"/>
            </w:pPr>
            <w:r>
              <w:rPr>
                <w:b/>
                <w:bCs/>
                <w:sz w:val="19"/>
                <w:szCs w:val="19"/>
              </w:rPr>
              <w:t xml:space="preserve">ideaal voor cultuur</w:t>
            </w:r>
          </w:p>
        </w:tc>
      </w:tr>
      <w:tr>
        <w:trPr>
          <w:cantSplit/>
        </w:trPr>
        <w:tc>
          <w:tcPr>
            <w:tcW w:type="dxa" w:w="12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maart</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11°</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24°</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b w:val="false"/>
                <w:bCs w:val="false"/>
                <w:sz w:val="19"/>
                <w:szCs w:val="19"/>
              </w:rPr>
              <w:t xml:space="preserve">29°</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24°</w:t>
            </w:r>
          </w:p>
        </w:tc>
        <w:tc>
          <w:tcPr>
            <w:tcW w:type="dxa" w:w="10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22°</w:t>
            </w:r>
          </w:p>
        </w:tc>
        <w:tc>
          <w:tcPr>
            <w:tcW w:type="dxa" w:w="14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color w:val="59647A"/>
                <w:sz w:val="19"/>
                <w:szCs w:val="19"/>
              </w:rPr>
              <w:t xml:space="preserve">krokus (soms)</w:t>
            </w:r>
          </w:p>
        </w:tc>
        <w:tc>
          <w:tcPr>
            <w:tcW w:type="dxa" w:w="1938"/>
            <w:tcBorders>
              <w:top w:val="none" w:color="FFFFFF" w:sz="0"/>
              <w:left w:val="none" w:color="FFFFFF" w:sz="0"/>
              <w:bottom w:val="single" w:color="D9DDE3" w:sz="4"/>
              <w:right w:val="none" w:color="FFFFFF" w:sz="0"/>
            </w:tcBorders>
            <w:shd w:fill="DCF1EE" w:color="auto" w:val="clear"/>
            <w:tcMar>
              <w:top w:type="dxa" w:w="70"/>
              <w:left w:type="dxa" w:w="100"/>
              <w:bottom w:type="dxa" w:w="70"/>
              <w:right w:type="dxa" w:w="100"/>
            </w:tcMar>
            <w:vAlign w:val="center"/>
          </w:tcPr>
          <w:p>
            <w:pPr>
              <w:spacing w:after="0" w:line="260"/>
            </w:pPr>
            <w:r>
              <w:rPr>
                <w:b/>
                <w:bCs/>
                <w:sz w:val="19"/>
                <w:szCs w:val="19"/>
              </w:rPr>
              <w:t xml:space="preserve">ideaal</w:t>
            </w:r>
          </w:p>
        </w:tc>
      </w:tr>
      <w:tr>
        <w:trPr>
          <w:cantSplit/>
        </w:trPr>
        <w:tc>
          <w:tcPr>
            <w:tcW w:type="dxa" w:w="12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april</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15°</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28°</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b w:val="false"/>
                <w:bCs w:val="false"/>
                <w:sz w:val="19"/>
                <w:szCs w:val="19"/>
              </w:rPr>
              <w:t xml:space="preserve">35°</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28°</w:t>
            </w:r>
          </w:p>
        </w:tc>
        <w:tc>
          <w:tcPr>
            <w:tcW w:type="dxa" w:w="10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24°</w:t>
            </w:r>
          </w:p>
        </w:tc>
        <w:tc>
          <w:tcPr>
            <w:tcW w:type="dxa" w:w="14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color w:val="59647A"/>
                <w:sz w:val="19"/>
                <w:szCs w:val="19"/>
              </w:rPr>
              <w:t xml:space="preserve">pasen</w:t>
            </w:r>
          </w:p>
        </w:tc>
        <w:tc>
          <w:tcPr>
            <w:tcW w:type="dxa" w:w="1938"/>
            <w:tcBorders>
              <w:top w:val="none" w:color="FFFFFF" w:sz="0"/>
              <w:left w:val="none" w:color="FFFFFF" w:sz="0"/>
              <w:bottom w:val="single" w:color="D9DDE3" w:sz="4"/>
              <w:right w:val="none" w:color="FFFFFF" w:sz="0"/>
            </w:tcBorders>
            <w:shd w:fill="DCF1EE" w:color="auto" w:val="clear"/>
            <w:tcMar>
              <w:top w:type="dxa" w:w="70"/>
              <w:left w:type="dxa" w:w="100"/>
              <w:bottom w:type="dxa" w:w="70"/>
              <w:right w:type="dxa" w:w="100"/>
            </w:tcMar>
            <w:vAlign w:val="center"/>
          </w:tcPr>
          <w:p>
            <w:pPr>
              <w:spacing w:after="0" w:line="260"/>
            </w:pPr>
            <w:r>
              <w:rPr>
                <w:b/>
                <w:bCs/>
                <w:sz w:val="19"/>
                <w:szCs w:val="19"/>
              </w:rPr>
              <w:t xml:space="preserve">ideaal, soms zandstorm</w:t>
            </w:r>
          </w:p>
        </w:tc>
      </w:tr>
      <w:tr>
        <w:trPr>
          <w:cantSplit/>
        </w:trPr>
        <w:tc>
          <w:tcPr>
            <w:tcW w:type="dxa" w:w="12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mei</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18°</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32°</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b/>
                <w:bCs/>
                <w:color w:val="B5452C"/>
                <w:sz w:val="19"/>
                <w:szCs w:val="19"/>
              </w:rPr>
              <w:t xml:space="preserve">39°</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31°</w:t>
            </w:r>
          </w:p>
        </w:tc>
        <w:tc>
          <w:tcPr>
            <w:tcW w:type="dxa" w:w="10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26°</w:t>
            </w:r>
          </w:p>
        </w:tc>
        <w:tc>
          <w:tcPr>
            <w:tcW w:type="dxa" w:w="14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color w:val="59647A"/>
                <w:sz w:val="19"/>
                <w:szCs w:val="19"/>
              </w:rPr>
              <w:t xml:space="preserve"/>
            </w:r>
          </w:p>
        </w:tc>
        <w:tc>
          <w:tcPr>
            <w:tcW w:type="dxa" w:w="1938"/>
            <w:tcBorders>
              <w:top w:val="none" w:color="FFFFFF" w:sz="0"/>
              <w:left w:val="none" w:color="FFFFFF" w:sz="0"/>
              <w:bottom w:val="single" w:color="D9DDE3" w:sz="4"/>
              <w:right w:val="none" w:color="FFFFFF" w:sz="0"/>
            </w:tcBorders>
            <w:shd w:fill="F6EAD2" w:color="auto" w:val="clear"/>
            <w:tcMar>
              <w:top w:type="dxa" w:w="70"/>
              <w:left w:type="dxa" w:w="100"/>
              <w:bottom w:type="dxa" w:w="70"/>
              <w:right w:type="dxa" w:w="100"/>
            </w:tcMar>
            <w:vAlign w:val="center"/>
          </w:tcPr>
          <w:p>
            <w:pPr>
              <w:spacing w:after="0" w:line="260"/>
            </w:pPr>
            <w:r>
              <w:rPr>
                <w:b/>
                <w:bCs/>
                <w:sz w:val="19"/>
                <w:szCs w:val="19"/>
              </w:rPr>
              <w:t xml:space="preserve">warm</w:t>
            </w:r>
          </w:p>
        </w:tc>
      </w:tr>
      <w:tr>
        <w:trPr>
          <w:cantSplit/>
        </w:trPr>
        <w:tc>
          <w:tcPr>
            <w:tcW w:type="dxa" w:w="12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juni</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21°</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34°</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b/>
                <w:bCs/>
                <w:color w:val="B5452C"/>
                <w:sz w:val="19"/>
                <w:szCs w:val="19"/>
              </w:rPr>
              <w:t xml:space="preserve">41°</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33°</w:t>
            </w:r>
          </w:p>
        </w:tc>
        <w:tc>
          <w:tcPr>
            <w:tcW w:type="dxa" w:w="10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27°</w:t>
            </w:r>
          </w:p>
        </w:tc>
        <w:tc>
          <w:tcPr>
            <w:tcW w:type="dxa" w:w="14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color w:val="59647A"/>
                <w:sz w:val="19"/>
                <w:szCs w:val="19"/>
              </w:rPr>
              <w:t xml:space="preserve"/>
            </w:r>
          </w:p>
        </w:tc>
        <w:tc>
          <w:tcPr>
            <w:tcW w:type="dxa" w:w="1938"/>
            <w:tcBorders>
              <w:top w:val="none" w:color="FFFFFF" w:sz="0"/>
              <w:left w:val="none" w:color="FFFFFF" w:sz="0"/>
              <w:bottom w:val="single" w:color="D9DDE3" w:sz="4"/>
              <w:right w:val="none" w:color="FFFFFF" w:sz="0"/>
            </w:tcBorders>
            <w:shd w:fill="F8E1DA" w:color="auto" w:val="clear"/>
            <w:tcMar>
              <w:top w:type="dxa" w:w="70"/>
              <w:left w:type="dxa" w:w="100"/>
              <w:bottom w:type="dxa" w:w="70"/>
              <w:right w:type="dxa" w:w="100"/>
            </w:tcMar>
            <w:vAlign w:val="center"/>
          </w:tcPr>
          <w:p>
            <w:pPr>
              <w:spacing w:after="0" w:line="260"/>
            </w:pPr>
            <w:r>
              <w:rPr>
                <w:b/>
                <w:bCs/>
                <w:sz w:val="19"/>
                <w:szCs w:val="19"/>
              </w:rPr>
              <w:t xml:space="preserve">heet: kies Rode Zee</w:t>
            </w:r>
          </w:p>
        </w:tc>
      </w:tr>
      <w:tr>
        <w:trPr>
          <w:cantSplit/>
        </w:trPr>
        <w:tc>
          <w:tcPr>
            <w:tcW w:type="dxa" w:w="12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juli</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23°</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35°</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b/>
                <w:bCs/>
                <w:color w:val="B5452C"/>
                <w:sz w:val="19"/>
                <w:szCs w:val="19"/>
              </w:rPr>
              <w:t xml:space="preserve">41°</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34°</w:t>
            </w:r>
          </w:p>
        </w:tc>
        <w:tc>
          <w:tcPr>
            <w:tcW w:type="dxa" w:w="10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28°</w:t>
            </w:r>
          </w:p>
        </w:tc>
        <w:tc>
          <w:tcPr>
            <w:tcW w:type="dxa" w:w="14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color w:val="59647A"/>
                <w:sz w:val="19"/>
                <w:szCs w:val="19"/>
              </w:rPr>
              <w:t xml:space="preserve">zomer</w:t>
            </w:r>
          </w:p>
        </w:tc>
        <w:tc>
          <w:tcPr>
            <w:tcW w:type="dxa" w:w="1938"/>
            <w:tcBorders>
              <w:top w:val="none" w:color="FFFFFF" w:sz="0"/>
              <w:left w:val="none" w:color="FFFFFF" w:sz="0"/>
              <w:bottom w:val="single" w:color="D9DDE3" w:sz="4"/>
              <w:right w:val="none" w:color="FFFFFF" w:sz="0"/>
            </w:tcBorders>
            <w:shd w:fill="F8E1DA" w:color="auto" w:val="clear"/>
            <w:tcMar>
              <w:top w:type="dxa" w:w="70"/>
              <w:left w:type="dxa" w:w="100"/>
              <w:bottom w:type="dxa" w:w="70"/>
              <w:right w:type="dxa" w:w="100"/>
            </w:tcMar>
            <w:vAlign w:val="center"/>
          </w:tcPr>
          <w:p>
            <w:pPr>
              <w:spacing w:after="0" w:line="260"/>
            </w:pPr>
            <w:r>
              <w:rPr>
                <w:b/>
                <w:bCs/>
                <w:sz w:val="19"/>
                <w:szCs w:val="19"/>
              </w:rPr>
              <w:t xml:space="preserve">heet: kies Rode Zee</w:t>
            </w:r>
          </w:p>
        </w:tc>
      </w:tr>
      <w:tr>
        <w:trPr>
          <w:cantSplit/>
        </w:trPr>
        <w:tc>
          <w:tcPr>
            <w:tcW w:type="dxa" w:w="12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augustus</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23°</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35°</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b/>
                <w:bCs/>
                <w:color w:val="B5452C"/>
                <w:sz w:val="19"/>
                <w:szCs w:val="19"/>
              </w:rPr>
              <w:t xml:space="preserve">41°</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34°</w:t>
            </w:r>
          </w:p>
        </w:tc>
        <w:tc>
          <w:tcPr>
            <w:tcW w:type="dxa" w:w="10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29°</w:t>
            </w:r>
          </w:p>
        </w:tc>
        <w:tc>
          <w:tcPr>
            <w:tcW w:type="dxa" w:w="14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color w:val="59647A"/>
                <w:sz w:val="19"/>
                <w:szCs w:val="19"/>
              </w:rPr>
              <w:t xml:space="preserve">zomer</w:t>
            </w:r>
          </w:p>
        </w:tc>
        <w:tc>
          <w:tcPr>
            <w:tcW w:type="dxa" w:w="1938"/>
            <w:tcBorders>
              <w:top w:val="none" w:color="FFFFFF" w:sz="0"/>
              <w:left w:val="none" w:color="FFFFFF" w:sz="0"/>
              <w:bottom w:val="single" w:color="D9DDE3" w:sz="4"/>
              <w:right w:val="none" w:color="FFFFFF" w:sz="0"/>
            </w:tcBorders>
            <w:shd w:fill="F8E1DA" w:color="auto" w:val="clear"/>
            <w:tcMar>
              <w:top w:type="dxa" w:w="70"/>
              <w:left w:type="dxa" w:w="100"/>
              <w:bottom w:type="dxa" w:w="70"/>
              <w:right w:type="dxa" w:w="100"/>
            </w:tcMar>
            <w:vAlign w:val="center"/>
          </w:tcPr>
          <w:p>
            <w:pPr>
              <w:spacing w:after="0" w:line="260"/>
            </w:pPr>
            <w:r>
              <w:rPr>
                <w:b/>
                <w:bCs/>
                <w:sz w:val="19"/>
                <w:szCs w:val="19"/>
              </w:rPr>
              <w:t xml:space="preserve">heet: kies Rode Zee</w:t>
            </w:r>
          </w:p>
        </w:tc>
      </w:tr>
      <w:tr>
        <w:trPr>
          <w:cantSplit/>
        </w:trPr>
        <w:tc>
          <w:tcPr>
            <w:tcW w:type="dxa" w:w="12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september</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19°</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33°</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b/>
                <w:bCs/>
                <w:color w:val="B5452C"/>
                <w:sz w:val="19"/>
                <w:szCs w:val="19"/>
              </w:rPr>
              <w:t xml:space="preserve">39°</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32°</w:t>
            </w:r>
          </w:p>
        </w:tc>
        <w:tc>
          <w:tcPr>
            <w:tcW w:type="dxa" w:w="10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28°</w:t>
            </w:r>
          </w:p>
        </w:tc>
        <w:tc>
          <w:tcPr>
            <w:tcW w:type="dxa" w:w="14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color w:val="59647A"/>
                <w:sz w:val="19"/>
                <w:szCs w:val="19"/>
              </w:rPr>
              <w:t xml:space="preserve"/>
            </w:r>
          </w:p>
        </w:tc>
        <w:tc>
          <w:tcPr>
            <w:tcW w:type="dxa" w:w="1938"/>
            <w:tcBorders>
              <w:top w:val="none" w:color="FFFFFF" w:sz="0"/>
              <w:left w:val="none" w:color="FFFFFF" w:sz="0"/>
              <w:bottom w:val="single" w:color="D9DDE3" w:sz="4"/>
              <w:right w:val="none" w:color="FFFFFF" w:sz="0"/>
            </w:tcBorders>
            <w:shd w:fill="F6EAD2" w:color="auto" w:val="clear"/>
            <w:tcMar>
              <w:top w:type="dxa" w:w="70"/>
              <w:left w:type="dxa" w:w="100"/>
              <w:bottom w:type="dxa" w:w="70"/>
              <w:right w:type="dxa" w:w="100"/>
            </w:tcMar>
            <w:vAlign w:val="center"/>
          </w:tcPr>
          <w:p>
            <w:pPr>
              <w:spacing w:after="0" w:line="260"/>
            </w:pPr>
            <w:r>
              <w:rPr>
                <w:b/>
                <w:bCs/>
                <w:sz w:val="19"/>
                <w:szCs w:val="19"/>
              </w:rPr>
              <w:t xml:space="preserve">warm</w:t>
            </w:r>
          </w:p>
        </w:tc>
      </w:tr>
      <w:tr>
        <w:trPr>
          <w:cantSplit/>
        </w:trPr>
        <w:tc>
          <w:tcPr>
            <w:tcW w:type="dxa" w:w="12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oktober</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15°</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30°</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b w:val="false"/>
                <w:bCs w:val="false"/>
                <w:sz w:val="19"/>
                <w:szCs w:val="19"/>
              </w:rPr>
              <w:t xml:space="preserve">35°</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30°</w:t>
            </w:r>
          </w:p>
        </w:tc>
        <w:tc>
          <w:tcPr>
            <w:tcW w:type="dxa" w:w="10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27°</w:t>
            </w:r>
          </w:p>
        </w:tc>
        <w:tc>
          <w:tcPr>
            <w:tcW w:type="dxa" w:w="14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color w:val="59647A"/>
                <w:sz w:val="19"/>
                <w:szCs w:val="19"/>
              </w:rPr>
              <w:t xml:space="preserve">herfst (eind)</w:t>
            </w:r>
          </w:p>
        </w:tc>
        <w:tc>
          <w:tcPr>
            <w:tcW w:type="dxa" w:w="1938"/>
            <w:tcBorders>
              <w:top w:val="none" w:color="FFFFFF" w:sz="0"/>
              <w:left w:val="none" w:color="FFFFFF" w:sz="0"/>
              <w:bottom w:val="single" w:color="D9DDE3" w:sz="4"/>
              <w:right w:val="none" w:color="FFFFFF" w:sz="0"/>
            </w:tcBorders>
            <w:shd w:fill="DCF1EE" w:color="auto" w:val="clear"/>
            <w:tcMar>
              <w:top w:type="dxa" w:w="70"/>
              <w:left w:type="dxa" w:w="100"/>
              <w:bottom w:type="dxa" w:w="70"/>
              <w:right w:type="dxa" w:w="100"/>
            </w:tcMar>
            <w:vAlign w:val="center"/>
          </w:tcPr>
          <w:p>
            <w:pPr>
              <w:spacing w:after="0" w:line="260"/>
            </w:pPr>
            <w:r>
              <w:rPr>
                <w:b/>
                <w:bCs/>
                <w:sz w:val="19"/>
                <w:szCs w:val="19"/>
              </w:rPr>
              <w:t xml:space="preserve">ideaal</w:t>
            </w:r>
          </w:p>
        </w:tc>
      </w:tr>
      <w:tr>
        <w:trPr>
          <w:cantSplit/>
        </w:trPr>
        <w:tc>
          <w:tcPr>
            <w:tcW w:type="dxa" w:w="12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november</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10°</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25°</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b w:val="false"/>
                <w:bCs w:val="false"/>
                <w:sz w:val="19"/>
                <w:szCs w:val="19"/>
              </w:rPr>
              <w:t xml:space="preserve">29°</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26°</w:t>
            </w:r>
          </w:p>
        </w:tc>
        <w:tc>
          <w:tcPr>
            <w:tcW w:type="dxa" w:w="10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25°</w:t>
            </w:r>
          </w:p>
        </w:tc>
        <w:tc>
          <w:tcPr>
            <w:tcW w:type="dxa" w:w="14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color w:val="59647A"/>
                <w:sz w:val="19"/>
                <w:szCs w:val="19"/>
              </w:rPr>
              <w:t xml:space="preserve">herfst (begin)</w:t>
            </w:r>
          </w:p>
        </w:tc>
        <w:tc>
          <w:tcPr>
            <w:tcW w:type="dxa" w:w="1938"/>
            <w:tcBorders>
              <w:top w:val="none" w:color="FFFFFF" w:sz="0"/>
              <w:left w:val="none" w:color="FFFFFF" w:sz="0"/>
              <w:bottom w:val="single" w:color="D9DDE3" w:sz="4"/>
              <w:right w:val="none" w:color="FFFFFF" w:sz="0"/>
            </w:tcBorders>
            <w:shd w:fill="DCF1EE" w:color="auto" w:val="clear"/>
            <w:tcMar>
              <w:top w:type="dxa" w:w="70"/>
              <w:left w:type="dxa" w:w="100"/>
              <w:bottom w:type="dxa" w:w="70"/>
              <w:right w:type="dxa" w:w="100"/>
            </w:tcMar>
            <w:vAlign w:val="center"/>
          </w:tcPr>
          <w:p>
            <w:pPr>
              <w:spacing w:after="0" w:line="260"/>
            </w:pPr>
            <w:r>
              <w:rPr>
                <w:b/>
                <w:bCs/>
                <w:sz w:val="19"/>
                <w:szCs w:val="19"/>
              </w:rPr>
              <w:t xml:space="preserve">ideaal</w:t>
            </w:r>
          </w:p>
        </w:tc>
      </w:tr>
      <w:tr>
        <w:trPr>
          <w:cantSplit/>
        </w:trPr>
        <w:tc>
          <w:tcPr>
            <w:tcW w:type="dxa" w:w="12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december</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6°</w:t>
            </w:r>
          </w:p>
        </w:tc>
        <w:tc>
          <w:tcPr>
            <w:tcW w:type="dxa" w:w="9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20°</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b w:val="false"/>
                <w:bCs w:val="false"/>
                <w:sz w:val="19"/>
                <w:szCs w:val="19"/>
              </w:rPr>
              <w:t xml:space="preserve">24°</w:t>
            </w:r>
          </w:p>
        </w:tc>
        <w:tc>
          <w:tcPr>
            <w:tcW w:type="dxa" w:w="10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23°</w:t>
            </w:r>
          </w:p>
        </w:tc>
        <w:tc>
          <w:tcPr>
            <w:tcW w:type="dxa" w:w="10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23°</w:t>
            </w:r>
          </w:p>
        </w:tc>
        <w:tc>
          <w:tcPr>
            <w:tcW w:type="dxa" w:w="145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color w:val="59647A"/>
                <w:sz w:val="19"/>
                <w:szCs w:val="19"/>
              </w:rPr>
              <w:t xml:space="preserve">kerst</w:t>
            </w:r>
          </w:p>
        </w:tc>
        <w:tc>
          <w:tcPr>
            <w:tcW w:type="dxa" w:w="1938"/>
            <w:tcBorders>
              <w:top w:val="none" w:color="FFFFFF" w:sz="0"/>
              <w:left w:val="none" w:color="FFFFFF" w:sz="0"/>
              <w:bottom w:val="single" w:color="D9DDE3" w:sz="4"/>
              <w:right w:val="none" w:color="FFFFFF" w:sz="0"/>
            </w:tcBorders>
            <w:shd w:fill="DCF1EE" w:color="auto" w:val="clear"/>
            <w:tcMar>
              <w:top w:type="dxa" w:w="70"/>
              <w:left w:type="dxa" w:w="100"/>
              <w:bottom w:type="dxa" w:w="70"/>
              <w:right w:type="dxa" w:w="100"/>
            </w:tcMar>
            <w:vAlign w:val="center"/>
          </w:tcPr>
          <w:p>
            <w:pPr>
              <w:spacing w:after="0" w:line="260"/>
            </w:pPr>
            <w:r>
              <w:rPr>
                <w:b/>
                <w:bCs/>
                <w:sz w:val="19"/>
                <w:szCs w:val="19"/>
              </w:rPr>
              <w:t xml:space="preserve">ideaal, druk</w:t>
            </w:r>
          </w:p>
        </w:tc>
      </w:tr>
    </w:tbl>
    <w:p>
      <w:pPr>
        <w:spacing w:after="240" w:before="80"/>
      </w:pPr>
      <w:r>
        <w:rPr>
          <w:i/>
          <w:iCs/>
          <w:color w:val="59647A"/>
          <w:sz w:val="17"/>
          <w:szCs w:val="17"/>
        </w:rPr>
        <w:t xml:space="preserve">Gemiddelde maximumtemperatuur overdag (°C) en zeewatertemperatuur van de Rode Zee. ’s Nachts is het in de woestijn in de winter fris (8–12 °C).</w:t>
      </w:r>
    </w:p>
    <w:p>
      <w:pPr>
        <w:pStyle w:val="Heading2"/>
      </w:pPr>
      <w:r>
        <w:t xml:space="preserve">Winter (november – februari)</w:t>
      </w:r>
    </w:p>
    <w:p>
      <w:pPr>
        <w:spacing w:after="120" w:line="288"/>
      </w:pPr>
      <w:r>
        <w:t xml:space="preserve">Zonnig, 19 tot 25 °C overdag. De beste tijd voor Caïro, Luxor en Aswan en voor een Nijlcruise. ’s Avonds is het fris: neem een trui mee. Rond Kerstmis en Nieuwjaar is het hoogseizoen, met hogere prijzen en meer drukte.</w:t>
      </w:r>
    </w:p>
    <w:p>
      <w:pPr>
        <w:pStyle w:val="Heading2"/>
      </w:pPr>
      <w:r>
        <w:t xml:space="preserve">Lente (maart – april)</w:t>
      </w:r>
    </w:p>
    <w:p>
      <w:pPr>
        <w:spacing w:after="120" w:line="288"/>
      </w:pPr>
      <w:r>
        <w:t xml:space="preserve">Aangenaam warm en ideaal voor de paasvakantie. Af en toe waait de khamsin, een hete woestijnwind met zand en stof. De Rode Zee is nog wat fris om lang te snorkelen (22–24 °C).</w:t>
      </w:r>
    </w:p>
    <w:p>
      <w:pPr>
        <w:pStyle w:val="Heading2"/>
      </w:pPr>
      <w:r>
        <w:t xml:space="preserve">Zomer (mei – september)</w:t>
      </w:r>
    </w:p>
    <w:p>
      <w:pPr>
        <w:spacing w:after="120" w:line="288"/>
      </w:pPr>
      <w:r>
        <w:t xml:space="preserve">In Luxor en Aswan wordt het 40 °C en meer, en er valt geen druppel regen. Met kinderen is dat zwaar voor tempelbezoek. Aan de Rode Zee blijft het met zeewind leefbaar (± 34 °C) en is het water heerlijk warm (28–29 °C).</w:t>
      </w:r>
    </w:p>
    <w:p>
      <w:pPr>
        <w:pStyle w:val="Heading2"/>
      </w:pPr>
      <w:r>
        <w:t xml:space="preserve">Herfst (oktober)</w:t>
      </w:r>
    </w:p>
    <w:p>
      <w:pPr>
        <w:spacing w:after="120" w:line="288"/>
      </w:pPr>
      <w:r>
        <w:t xml:space="preserve">De hitte zakt weer weg. De herfstvakantie (eind oktober – begin november) is een uitstekend moment voor een combinatie van cultuur en strand.</w:t>
      </w:r>
    </w:p>
    <w:p>
      <w:pPr>
        <w:pStyle w:val="Heading2"/>
      </w:pPr>
      <w:r>
        <w:t xml:space="preserve">Ramadan</w:t>
      </w:r>
    </w:p>
    <w:p>
      <w:pPr>
        <w:spacing w:after="120" w:line="288"/>
      </w:pPr>
      <w:r>
        <w:t xml:space="preserve">Tijdens de vastenmaand eten en drinken veel Egyptenaren niet overdag. Hotels en toeristische zaken blijven open, maar openingsuren kunnen korter zijn. Ramadan schuift elk jaar ± 11 dagen naar voren: in 2027 valt hij ongeveer van 8 februari tot 9 maart.</w:t>
      </w:r>
    </w:p>
    <w:p>
      <w:pPr>
        <w:spacing w:after="360"/>
      </w:pPr>
    </w:p>
    <w:p>
      <w:pPr>
        <w:spacing w:after="40" w:before="120"/>
      </w:pPr>
      <w:r>
        <w:rPr>
          <w:b/>
          <w:bCs/>
          <w:color w:val="B9811A"/>
          <w:spacing w:val="40"/>
          <w:sz w:val="18"/>
          <w:szCs w:val="18"/>
        </w:rPr>
        <w:t xml:space="preserve">4 · BEZIENSWAARDIGHEDEN</w:t>
      </w:r>
    </w:p>
    <w:p>
      <w:pPr>
        <w:pStyle w:val="Heading1"/>
      </w:pPr>
      <w:r>
        <w:t xml:space="preserve">Wat kost het voor een gezin?</w:t>
      </w:r>
    </w:p>
    <w:p>
      <w:pPr>
        <w:spacing w:after="200" w:line="300"/>
      </w:pPr>
      <w:r>
        <w:rPr>
          <w:color w:val="59647A"/>
          <w:sz w:val="24"/>
          <w:szCs w:val="24"/>
        </w:rPr>
        <w:t xml:space="preserve">Bij elke bezienswaardigheid staat de toegangsprijs per persoon en de totale kostprijs voor een gezin van 2 volwassenen en 2 kinderen (6–17 jaar). We rekenen met 1 € = 55 EGP.</w:t>
      </w:r>
    </w:p>
    <w:p>
      <w:pPr>
        <w:pStyle w:val="Heading2"/>
      </w:pPr>
      <w:r>
        <w:t xml:space="preserve">Caïro &amp; Gizeh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38"/>
        <w:gridCol w:w="1400"/>
        <w:gridCol w:w="1400"/>
        <w:gridCol w:w="1800"/>
      </w:tblGrid>
      <w:tr>
        <w:trPr>
          <w:tblHeader/>
        </w:trPr>
        <w:tc>
          <w:tcPr>
            <w:tcW w:type="dxa" w:w="5038"/>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Bezienswaardigheid</w:t>
            </w:r>
          </w:p>
        </w:tc>
        <w:tc>
          <w:tcPr>
            <w:tcW w:type="dxa" w:w="14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Volwassene</w:t>
            </w:r>
          </w:p>
        </w:tc>
        <w:tc>
          <w:tcPr>
            <w:tcW w:type="dxa" w:w="14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Kind 6–17</w:t>
            </w:r>
          </w:p>
        </w:tc>
        <w:tc>
          <w:tcPr>
            <w:tcW w:type="dxa" w:w="18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Gezin (2+2)</w:t>
            </w:r>
          </w:p>
        </w:tc>
      </w:tr>
      <w:tr>
        <w:trPr>
          <w:cantSplit/>
        </w:trPr>
        <w:tc>
          <w:tcPr>
            <w:tcW w:type="dxa" w:w="50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30"/>
            </w:pPr>
            <w:r>
              <w:rPr>
                <w:b/>
                <w:bCs/>
                <w:sz w:val="19"/>
                <w:szCs w:val="19"/>
              </w:rPr>
              <w:t xml:space="preserve">Piramiden van Gizeh &amp; Sfinx</w:t>
            </w:r>
            <w:r>
              <w:rPr>
                <w:b/>
                <w:bCs/>
                <w:color w:val="B9811A"/>
                <w:sz w:val="15"/>
                <w:szCs w:val="15"/>
              </w:rPr>
              <w:t xml:space="preserve">  ★ must-see</w:t>
            </w:r>
          </w:p>
          <w:p>
            <w:pPr>
              <w:spacing w:after="0" w:line="252"/>
            </w:pPr>
            <w:r>
              <w:rPr>
                <w:color w:val="59647A"/>
                <w:sz w:val="17"/>
                <w:szCs w:val="17"/>
              </w:rPr>
              <w:t xml:space="preserve">Het enige overgebleven wereldwonder van de oudheid. Toegang tot het plateau met de drie grote piramiden en de Sfinx. Ga vroeg (opening 7u).</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700 EGP</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350 EGP</w:t>
            </w:r>
          </w:p>
        </w:tc>
        <w:tc>
          <w:tcPr>
            <w:tcW w:type="dxa" w:w="18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jc w:val="right"/>
            </w:pPr>
            <w:r>
              <w:rPr>
                <w:b/>
                <w:bCs/>
                <w:color w:val="1F4FA3"/>
                <w:sz w:val="21"/>
                <w:szCs w:val="21"/>
              </w:rPr>
              <w:t xml:space="preserve">€ 38</w:t>
            </w:r>
          </w:p>
          <w:p>
            <w:pPr>
              <w:spacing w:after="0"/>
              <w:jc w:val="right"/>
            </w:pPr>
            <w:r>
              <w:rPr>
                <w:color w:val="59647A"/>
                <w:sz w:val="15"/>
                <w:szCs w:val="15"/>
              </w:rPr>
              <w:t xml:space="preserve">2.100 EGP</w:t>
            </w:r>
          </w:p>
        </w:tc>
      </w:tr>
      <w:tr>
        <w:trPr>
          <w:cantSplit/>
        </w:trPr>
        <w:tc>
          <w:tcPr>
            <w:tcW w:type="dxa" w:w="50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30"/>
            </w:pPr>
            <w:r>
              <w:rPr>
                <w:b/>
                <w:bCs/>
                <w:sz w:val="19"/>
                <w:szCs w:val="19"/>
              </w:rPr>
              <w:t xml:space="preserve">Binnen in de Grote Piramide</w:t>
            </w:r>
          </w:p>
          <w:p>
            <w:pPr>
              <w:spacing w:after="0" w:line="252"/>
            </w:pPr>
            <w:r>
              <w:rPr>
                <w:color w:val="59647A"/>
                <w:sz w:val="17"/>
                <w:szCs w:val="17"/>
              </w:rPr>
              <w:t xml:space="preserve">Steile, smalle gang naar de grafkamer van Cheops. Niet voor wie claustrofobisch is.</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1.500 EGP</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750 EGP</w:t>
            </w:r>
          </w:p>
        </w:tc>
        <w:tc>
          <w:tcPr>
            <w:tcW w:type="dxa" w:w="18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jc w:val="right"/>
            </w:pPr>
            <w:r>
              <w:rPr>
                <w:b/>
                <w:bCs/>
                <w:color w:val="1F4FA3"/>
                <w:sz w:val="21"/>
                <w:szCs w:val="21"/>
              </w:rPr>
              <w:t xml:space="preserve">€ 82</w:t>
            </w:r>
          </w:p>
          <w:p>
            <w:pPr>
              <w:spacing w:after="0"/>
              <w:jc w:val="right"/>
            </w:pPr>
            <w:r>
              <w:rPr>
                <w:color w:val="59647A"/>
                <w:sz w:val="15"/>
                <w:szCs w:val="15"/>
              </w:rPr>
              <w:t xml:space="preserve">4.500 EGP</w:t>
            </w:r>
          </w:p>
        </w:tc>
      </w:tr>
      <w:tr>
        <w:trPr>
          <w:cantSplit/>
        </w:trPr>
        <w:tc>
          <w:tcPr>
            <w:tcW w:type="dxa" w:w="50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30"/>
            </w:pPr>
            <w:r>
              <w:rPr>
                <w:b/>
                <w:bCs/>
                <w:sz w:val="19"/>
                <w:szCs w:val="19"/>
              </w:rPr>
              <w:t xml:space="preserve">Grand Egyptian Museum (GEM)</w:t>
            </w:r>
            <w:r>
              <w:rPr>
                <w:b/>
                <w:bCs/>
                <w:color w:val="B9811A"/>
                <w:sz w:val="15"/>
                <w:szCs w:val="15"/>
              </w:rPr>
              <w:t xml:space="preserve">  ★ must-see</w:t>
            </w:r>
          </w:p>
          <w:p>
            <w:pPr>
              <w:spacing w:after="0" w:line="252"/>
            </w:pPr>
            <w:r>
              <w:rPr>
                <w:color w:val="59647A"/>
                <w:sz w:val="17"/>
                <w:szCs w:val="17"/>
              </w:rPr>
              <w:t xml:space="preserve">Grootste archeologische museum ter wereld, met de volledige schat van Toetanchamon. Reken op een halve dag.</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1.700 EGP</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850 EGP</w:t>
            </w:r>
          </w:p>
        </w:tc>
        <w:tc>
          <w:tcPr>
            <w:tcW w:type="dxa" w:w="18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jc w:val="right"/>
            </w:pPr>
            <w:r>
              <w:rPr>
                <w:b/>
                <w:bCs/>
                <w:color w:val="1F4FA3"/>
                <w:sz w:val="21"/>
                <w:szCs w:val="21"/>
              </w:rPr>
              <w:t xml:space="preserve">€ 93</w:t>
            </w:r>
          </w:p>
          <w:p>
            <w:pPr>
              <w:spacing w:after="0"/>
              <w:jc w:val="right"/>
            </w:pPr>
            <w:r>
              <w:rPr>
                <w:color w:val="59647A"/>
                <w:sz w:val="15"/>
                <w:szCs w:val="15"/>
              </w:rPr>
              <w:t xml:space="preserve">5.100 EGP</w:t>
            </w:r>
          </w:p>
        </w:tc>
      </w:tr>
      <w:tr>
        <w:trPr>
          <w:cantSplit/>
        </w:trPr>
        <w:tc>
          <w:tcPr>
            <w:tcW w:type="dxa" w:w="50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30"/>
            </w:pPr>
            <w:r>
              <w:rPr>
                <w:b/>
                <w:bCs/>
                <w:sz w:val="19"/>
                <w:szCs w:val="19"/>
              </w:rPr>
              <w:t xml:space="preserve">Egyptisch Museum (Tahrir)</w:t>
            </w:r>
          </w:p>
          <w:p>
            <w:pPr>
              <w:spacing w:after="0" w:line="252"/>
            </w:pPr>
            <w:r>
              <w:rPr>
                <w:color w:val="59647A"/>
                <w:sz w:val="17"/>
                <w:szCs w:val="17"/>
              </w:rPr>
              <w:t xml:space="preserve">Historisch museum in het centrum, met mummies en duizenden beelden.</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550 EGP</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275 EGP</w:t>
            </w:r>
          </w:p>
        </w:tc>
        <w:tc>
          <w:tcPr>
            <w:tcW w:type="dxa" w:w="18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jc w:val="right"/>
            </w:pPr>
            <w:r>
              <w:rPr>
                <w:b/>
                <w:bCs/>
                <w:color w:val="1F4FA3"/>
                <w:sz w:val="21"/>
                <w:szCs w:val="21"/>
              </w:rPr>
              <w:t xml:space="preserve">€ 30</w:t>
            </w:r>
          </w:p>
          <w:p>
            <w:pPr>
              <w:spacing w:after="0"/>
              <w:jc w:val="right"/>
            </w:pPr>
            <w:r>
              <w:rPr>
                <w:color w:val="59647A"/>
                <w:sz w:val="15"/>
                <w:szCs w:val="15"/>
              </w:rPr>
              <w:t xml:space="preserve">1.650 EGP</w:t>
            </w:r>
          </w:p>
        </w:tc>
      </w:tr>
      <w:tr>
        <w:trPr>
          <w:cantSplit/>
        </w:trPr>
        <w:tc>
          <w:tcPr>
            <w:tcW w:type="dxa" w:w="50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30"/>
            </w:pPr>
            <w:r>
              <w:rPr>
                <w:b/>
                <w:bCs/>
                <w:sz w:val="19"/>
                <w:szCs w:val="19"/>
              </w:rPr>
              <w:t xml:space="preserve">Sakkara (piramide van Djoser)</w:t>
            </w:r>
          </w:p>
          <w:p>
            <w:pPr>
              <w:spacing w:after="0" w:line="252"/>
            </w:pPr>
            <w:r>
              <w:rPr>
                <w:color w:val="59647A"/>
                <w:sz w:val="17"/>
                <w:szCs w:val="17"/>
              </w:rPr>
              <w:t xml:space="preserve">De oudste piramide van Egypte (± 4.700 jaar), met beschilderde graven en weinig drukte.</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600 EGP</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300 EGP</w:t>
            </w:r>
          </w:p>
        </w:tc>
        <w:tc>
          <w:tcPr>
            <w:tcW w:type="dxa" w:w="18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jc w:val="right"/>
            </w:pPr>
            <w:r>
              <w:rPr>
                <w:b/>
                <w:bCs/>
                <w:color w:val="1F4FA3"/>
                <w:sz w:val="21"/>
                <w:szCs w:val="21"/>
              </w:rPr>
              <w:t xml:space="preserve">€ 33</w:t>
            </w:r>
          </w:p>
          <w:p>
            <w:pPr>
              <w:spacing w:after="0"/>
              <w:jc w:val="right"/>
            </w:pPr>
            <w:r>
              <w:rPr>
                <w:color w:val="59647A"/>
                <w:sz w:val="15"/>
                <w:szCs w:val="15"/>
              </w:rPr>
              <w:t xml:space="preserve">1.800 EGP</w:t>
            </w:r>
          </w:p>
        </w:tc>
      </w:tr>
      <w:tr>
        <w:trPr>
          <w:cantSplit/>
        </w:trPr>
        <w:tc>
          <w:tcPr>
            <w:tcW w:type="dxa" w:w="50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30"/>
            </w:pPr>
            <w:r>
              <w:rPr>
                <w:b/>
                <w:bCs/>
                <w:sz w:val="19"/>
                <w:szCs w:val="19"/>
              </w:rPr>
              <w:t xml:space="preserve">Citadel van Saladin</w:t>
            </w:r>
          </w:p>
          <w:p>
            <w:pPr>
              <w:spacing w:after="0" w:line="252"/>
            </w:pPr>
            <w:r>
              <w:rPr>
                <w:color w:val="59647A"/>
                <w:sz w:val="17"/>
                <w:szCs w:val="17"/>
              </w:rPr>
              <w:t xml:space="preserve">Middeleeuwse burcht met de Albastmoskee. Combineer met de bazaar Khan el-Khalili (gratis).</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550 EGP</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275 EGP</w:t>
            </w:r>
          </w:p>
        </w:tc>
        <w:tc>
          <w:tcPr>
            <w:tcW w:type="dxa" w:w="18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jc w:val="right"/>
            </w:pPr>
            <w:r>
              <w:rPr>
                <w:b/>
                <w:bCs/>
                <w:color w:val="1F4FA3"/>
                <w:sz w:val="21"/>
                <w:szCs w:val="21"/>
              </w:rPr>
              <w:t xml:space="preserve">€ 30</w:t>
            </w:r>
          </w:p>
          <w:p>
            <w:pPr>
              <w:spacing w:after="0"/>
              <w:jc w:val="right"/>
            </w:pPr>
            <w:r>
              <w:rPr>
                <w:color w:val="59647A"/>
                <w:sz w:val="15"/>
                <w:szCs w:val="15"/>
              </w:rPr>
              <w:t xml:space="preserve">1.650 EGP</w:t>
            </w:r>
          </w:p>
        </w:tc>
      </w:tr>
    </w:tbl>
    <w:p>
      <w:pPr>
        <w:spacing w:after="160"/>
      </w:pPr>
    </w:p>
    <w:p>
      <w:pPr>
        <w:pStyle w:val="Heading2"/>
      </w:pPr>
      <w:r>
        <w:t xml:space="preserve">Luxor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38"/>
        <w:gridCol w:w="1400"/>
        <w:gridCol w:w="1400"/>
        <w:gridCol w:w="1800"/>
      </w:tblGrid>
      <w:tr>
        <w:trPr>
          <w:tblHeader/>
        </w:trPr>
        <w:tc>
          <w:tcPr>
            <w:tcW w:type="dxa" w:w="5038"/>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Bezienswaardigheid</w:t>
            </w:r>
          </w:p>
        </w:tc>
        <w:tc>
          <w:tcPr>
            <w:tcW w:type="dxa" w:w="14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Volwassene</w:t>
            </w:r>
          </w:p>
        </w:tc>
        <w:tc>
          <w:tcPr>
            <w:tcW w:type="dxa" w:w="14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Kind 6–17</w:t>
            </w:r>
          </w:p>
        </w:tc>
        <w:tc>
          <w:tcPr>
            <w:tcW w:type="dxa" w:w="18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Gezin (2+2)</w:t>
            </w:r>
          </w:p>
        </w:tc>
      </w:tr>
      <w:tr>
        <w:trPr>
          <w:cantSplit/>
        </w:trPr>
        <w:tc>
          <w:tcPr>
            <w:tcW w:type="dxa" w:w="50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30"/>
            </w:pPr>
            <w:r>
              <w:rPr>
                <w:b/>
                <w:bCs/>
                <w:sz w:val="19"/>
                <w:szCs w:val="19"/>
              </w:rPr>
              <w:t xml:space="preserve">Tempelcomplex van Karnak</w:t>
            </w:r>
            <w:r>
              <w:rPr>
                <w:b/>
                <w:bCs/>
                <w:color w:val="B9811A"/>
                <w:sz w:val="15"/>
                <w:szCs w:val="15"/>
              </w:rPr>
              <w:t xml:space="preserve">  ★ must-see</w:t>
            </w:r>
          </w:p>
          <w:p>
            <w:pPr>
              <w:spacing w:after="0" w:line="252"/>
            </w:pPr>
            <w:r>
              <w:rPr>
                <w:color w:val="59647A"/>
                <w:sz w:val="17"/>
                <w:szCs w:val="17"/>
              </w:rPr>
              <w:t xml:space="preserve">Grootste tempelcomplex ter wereld, met een zuilenzaal van 134 reusachtige zuilen.</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600 EGP</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300 EGP</w:t>
            </w:r>
          </w:p>
        </w:tc>
        <w:tc>
          <w:tcPr>
            <w:tcW w:type="dxa" w:w="18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jc w:val="right"/>
            </w:pPr>
            <w:r>
              <w:rPr>
                <w:b/>
                <w:bCs/>
                <w:color w:val="1F4FA3"/>
                <w:sz w:val="21"/>
                <w:szCs w:val="21"/>
              </w:rPr>
              <w:t xml:space="preserve">€ 33</w:t>
            </w:r>
          </w:p>
          <w:p>
            <w:pPr>
              <w:spacing w:after="0"/>
              <w:jc w:val="right"/>
            </w:pPr>
            <w:r>
              <w:rPr>
                <w:color w:val="59647A"/>
                <w:sz w:val="15"/>
                <w:szCs w:val="15"/>
              </w:rPr>
              <w:t xml:space="preserve">1.800 EGP</w:t>
            </w:r>
          </w:p>
        </w:tc>
      </w:tr>
      <w:tr>
        <w:trPr>
          <w:cantSplit/>
        </w:trPr>
        <w:tc>
          <w:tcPr>
            <w:tcW w:type="dxa" w:w="50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30"/>
            </w:pPr>
            <w:r>
              <w:rPr>
                <w:b/>
                <w:bCs/>
                <w:sz w:val="19"/>
                <w:szCs w:val="19"/>
              </w:rPr>
              <w:t xml:space="preserve">Tempel van Luxor</w:t>
            </w:r>
          </w:p>
          <w:p>
            <w:pPr>
              <w:spacing w:after="0" w:line="252"/>
            </w:pPr>
            <w:r>
              <w:rPr>
                <w:color w:val="59647A"/>
                <w:sz w:val="17"/>
                <w:szCs w:val="17"/>
              </w:rPr>
              <w:t xml:space="preserve">Midden in de stad; ’s avonds verlicht en het mooist bij zonsondergang.</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500 EGP</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250 EGP</w:t>
            </w:r>
          </w:p>
        </w:tc>
        <w:tc>
          <w:tcPr>
            <w:tcW w:type="dxa" w:w="18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jc w:val="right"/>
            </w:pPr>
            <w:r>
              <w:rPr>
                <w:b/>
                <w:bCs/>
                <w:color w:val="1F4FA3"/>
                <w:sz w:val="21"/>
                <w:szCs w:val="21"/>
              </w:rPr>
              <w:t xml:space="preserve">€ 27</w:t>
            </w:r>
          </w:p>
          <w:p>
            <w:pPr>
              <w:spacing w:after="0"/>
              <w:jc w:val="right"/>
            </w:pPr>
            <w:r>
              <w:rPr>
                <w:color w:val="59647A"/>
                <w:sz w:val="15"/>
                <w:szCs w:val="15"/>
              </w:rPr>
              <w:t xml:space="preserve">1.500 EGP</w:t>
            </w:r>
          </w:p>
        </w:tc>
      </w:tr>
      <w:tr>
        <w:trPr>
          <w:cantSplit/>
        </w:trPr>
        <w:tc>
          <w:tcPr>
            <w:tcW w:type="dxa" w:w="50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30"/>
            </w:pPr>
            <w:r>
              <w:rPr>
                <w:b/>
                <w:bCs/>
                <w:sz w:val="19"/>
                <w:szCs w:val="19"/>
              </w:rPr>
              <w:t xml:space="preserve">Vallei der Koningen</w:t>
            </w:r>
            <w:r>
              <w:rPr>
                <w:b/>
                <w:bCs/>
                <w:color w:val="B9811A"/>
                <w:sz w:val="15"/>
                <w:szCs w:val="15"/>
              </w:rPr>
              <w:t xml:space="preserve">  ★ must-see</w:t>
            </w:r>
          </w:p>
          <w:p>
            <w:pPr>
              <w:spacing w:after="0" w:line="252"/>
            </w:pPr>
            <w:r>
              <w:rPr>
                <w:color w:val="59647A"/>
                <w:sz w:val="17"/>
                <w:szCs w:val="17"/>
              </w:rPr>
              <w:t xml:space="preserve">Ticket voor 3 koningsgraven met kleurrijke schilderingen. Graf van Toetanchamon kost extra.</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750 EGP</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375 EGP</w:t>
            </w:r>
          </w:p>
        </w:tc>
        <w:tc>
          <w:tcPr>
            <w:tcW w:type="dxa" w:w="18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jc w:val="right"/>
            </w:pPr>
            <w:r>
              <w:rPr>
                <w:b/>
                <w:bCs/>
                <w:color w:val="1F4FA3"/>
                <w:sz w:val="21"/>
                <w:szCs w:val="21"/>
              </w:rPr>
              <w:t xml:space="preserve">€ 41</w:t>
            </w:r>
          </w:p>
          <w:p>
            <w:pPr>
              <w:spacing w:after="0"/>
              <w:jc w:val="right"/>
            </w:pPr>
            <w:r>
              <w:rPr>
                <w:color w:val="59647A"/>
                <w:sz w:val="15"/>
                <w:szCs w:val="15"/>
              </w:rPr>
              <w:t xml:space="preserve">2.250 EGP</w:t>
            </w:r>
          </w:p>
        </w:tc>
      </w:tr>
      <w:tr>
        <w:trPr>
          <w:cantSplit/>
        </w:trPr>
        <w:tc>
          <w:tcPr>
            <w:tcW w:type="dxa" w:w="50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30"/>
            </w:pPr>
            <w:r>
              <w:rPr>
                <w:b/>
                <w:bCs/>
                <w:sz w:val="19"/>
                <w:szCs w:val="19"/>
              </w:rPr>
              <w:t xml:space="preserve">Tempel van Hatsjepsoet</w:t>
            </w:r>
          </w:p>
          <w:p>
            <w:pPr>
              <w:spacing w:after="0" w:line="252"/>
            </w:pPr>
            <w:r>
              <w:rPr>
                <w:color w:val="59647A"/>
                <w:sz w:val="17"/>
                <w:szCs w:val="17"/>
              </w:rPr>
              <w:t xml:space="preserve">Terrastempel van de vrouwelijke farao, tegen de rotswand van Deir el-Bahari.</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440 EGP</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220 EGP</w:t>
            </w:r>
          </w:p>
        </w:tc>
        <w:tc>
          <w:tcPr>
            <w:tcW w:type="dxa" w:w="18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jc w:val="right"/>
            </w:pPr>
            <w:r>
              <w:rPr>
                <w:b/>
                <w:bCs/>
                <w:color w:val="1F4FA3"/>
                <w:sz w:val="21"/>
                <w:szCs w:val="21"/>
              </w:rPr>
              <w:t xml:space="preserve">€ 24</w:t>
            </w:r>
          </w:p>
          <w:p>
            <w:pPr>
              <w:spacing w:after="0"/>
              <w:jc w:val="right"/>
            </w:pPr>
            <w:r>
              <w:rPr>
                <w:color w:val="59647A"/>
                <w:sz w:val="15"/>
                <w:szCs w:val="15"/>
              </w:rPr>
              <w:t xml:space="preserve">1.320 EGP</w:t>
            </w:r>
          </w:p>
        </w:tc>
      </w:tr>
      <w:tr>
        <w:trPr>
          <w:cantSplit/>
        </w:trPr>
        <w:tc>
          <w:tcPr>
            <w:tcW w:type="dxa" w:w="50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30"/>
            </w:pPr>
            <w:r>
              <w:rPr>
                <w:b/>
                <w:bCs/>
                <w:sz w:val="19"/>
                <w:szCs w:val="19"/>
              </w:rPr>
              <w:t xml:space="preserve">Ballonvaart bij zonsopgang</w:t>
            </w:r>
          </w:p>
          <w:p>
            <w:pPr>
              <w:spacing w:after="0" w:line="252"/>
            </w:pPr>
            <w:r>
              <w:rPr>
                <w:color w:val="59647A"/>
                <w:sz w:val="17"/>
                <w:szCs w:val="17"/>
              </w:rPr>
              <w:t xml:space="preserve">± 45 minuten zweven boven de tempels. Kinderen vanaf 6 jaar.</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€ 75</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€ 60</w:t>
            </w:r>
          </w:p>
        </w:tc>
        <w:tc>
          <w:tcPr>
            <w:tcW w:type="dxa" w:w="18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jc w:val="right"/>
            </w:pPr>
            <w:r>
              <w:rPr>
                <w:b/>
                <w:bCs/>
                <w:color w:val="1F4FA3"/>
                <w:sz w:val="21"/>
                <w:szCs w:val="21"/>
              </w:rPr>
              <w:t xml:space="preserve">€ 270</w:t>
            </w:r>
          </w:p>
          <w:p>
            <w:pPr>
              <w:spacing w:after="0"/>
              <w:jc w:val="right"/>
            </w:pPr>
            <w:r>
              <w:rPr>
                <w:color w:val="59647A"/>
                <w:sz w:val="15"/>
                <w:szCs w:val="15"/>
              </w:rPr>
              <w:t xml:space="preserve">± 14.850 EGP</w:t>
            </w:r>
          </w:p>
        </w:tc>
      </w:tr>
    </w:tbl>
    <w:p>
      <w:pPr>
        <w:spacing w:after="160"/>
      </w:pPr>
    </w:p>
    <w:p>
      <w:pPr>
        <w:pStyle w:val="Heading2"/>
      </w:pPr>
      <w:r>
        <w:t xml:space="preserve">Aswan &amp; de Nijl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38"/>
        <w:gridCol w:w="1400"/>
        <w:gridCol w:w="1400"/>
        <w:gridCol w:w="1800"/>
      </w:tblGrid>
      <w:tr>
        <w:trPr>
          <w:tblHeader/>
        </w:trPr>
        <w:tc>
          <w:tcPr>
            <w:tcW w:type="dxa" w:w="5038"/>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Bezienswaardigheid</w:t>
            </w:r>
          </w:p>
        </w:tc>
        <w:tc>
          <w:tcPr>
            <w:tcW w:type="dxa" w:w="14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Volwassene</w:t>
            </w:r>
          </w:p>
        </w:tc>
        <w:tc>
          <w:tcPr>
            <w:tcW w:type="dxa" w:w="14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Kind 6–17</w:t>
            </w:r>
          </w:p>
        </w:tc>
        <w:tc>
          <w:tcPr>
            <w:tcW w:type="dxa" w:w="18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Gezin (2+2)</w:t>
            </w:r>
          </w:p>
        </w:tc>
      </w:tr>
      <w:tr>
        <w:trPr>
          <w:cantSplit/>
        </w:trPr>
        <w:tc>
          <w:tcPr>
            <w:tcW w:type="dxa" w:w="50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30"/>
            </w:pPr>
            <w:r>
              <w:rPr>
                <w:b/>
                <w:bCs/>
                <w:sz w:val="19"/>
                <w:szCs w:val="19"/>
              </w:rPr>
              <w:t xml:space="preserve">Nijlcruise Luxor – Aswan (4 nachten)</w:t>
            </w:r>
          </w:p>
          <w:p>
            <w:pPr>
              <w:spacing w:after="0" w:line="252"/>
            </w:pPr>
            <w:r>
              <w:rPr>
                <w:color w:val="59647A"/>
                <w:sz w:val="17"/>
                <w:szCs w:val="17"/>
              </w:rPr>
              <w:t xml:space="preserve">Varend hotel met volpension, met stops bij Edfu en Kom Ombo. Toegangen niet inbegrepen.</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€ 550</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€ 275</w:t>
            </w:r>
          </w:p>
        </w:tc>
        <w:tc>
          <w:tcPr>
            <w:tcW w:type="dxa" w:w="18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jc w:val="right"/>
            </w:pPr>
            <w:r>
              <w:rPr>
                <w:b/>
                <w:bCs/>
                <w:color w:val="1F4FA3"/>
                <w:sz w:val="21"/>
                <w:szCs w:val="21"/>
              </w:rPr>
              <w:t xml:space="preserve">€ 1.650</w:t>
            </w:r>
          </w:p>
          <w:p>
            <w:pPr>
              <w:spacing w:after="0"/>
              <w:jc w:val="right"/>
            </w:pPr>
            <w:r>
              <w:rPr>
                <w:color w:val="59647A"/>
                <w:sz w:val="15"/>
                <w:szCs w:val="15"/>
              </w:rPr>
              <w:t xml:space="preserve">± 90.750 EGP</w:t>
            </w:r>
          </w:p>
        </w:tc>
      </w:tr>
      <w:tr>
        <w:trPr>
          <w:cantSplit/>
        </w:trPr>
        <w:tc>
          <w:tcPr>
            <w:tcW w:type="dxa" w:w="50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30"/>
            </w:pPr>
            <w:r>
              <w:rPr>
                <w:b/>
                <w:bCs/>
                <w:sz w:val="19"/>
                <w:szCs w:val="19"/>
              </w:rPr>
              <w:t xml:space="preserve">Tempels van Abu Simbel</w:t>
            </w:r>
          </w:p>
          <w:p>
            <w:pPr>
              <w:spacing w:after="0" w:line="252"/>
            </w:pPr>
            <w:r>
              <w:rPr>
                <w:color w:val="59647A"/>
                <w:sz w:val="17"/>
                <w:szCs w:val="17"/>
              </w:rPr>
              <w:t xml:space="preserve">Rotstempels van Ramses II. Vervoer vanaf Aswan kost ± 45 € p.p. extra.</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765 EGP</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385 EGP</w:t>
            </w:r>
          </w:p>
        </w:tc>
        <w:tc>
          <w:tcPr>
            <w:tcW w:type="dxa" w:w="18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jc w:val="right"/>
            </w:pPr>
            <w:r>
              <w:rPr>
                <w:b/>
                <w:bCs/>
                <w:color w:val="1F4FA3"/>
                <w:sz w:val="21"/>
                <w:szCs w:val="21"/>
              </w:rPr>
              <w:t xml:space="preserve">€ 42</w:t>
            </w:r>
          </w:p>
          <w:p>
            <w:pPr>
              <w:spacing w:after="0"/>
              <w:jc w:val="right"/>
            </w:pPr>
            <w:r>
              <w:rPr>
                <w:color w:val="59647A"/>
                <w:sz w:val="15"/>
                <w:szCs w:val="15"/>
              </w:rPr>
              <w:t xml:space="preserve">2.300 EGP</w:t>
            </w:r>
          </w:p>
        </w:tc>
      </w:tr>
      <w:tr>
        <w:trPr>
          <w:cantSplit/>
        </w:trPr>
        <w:tc>
          <w:tcPr>
            <w:tcW w:type="dxa" w:w="50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30"/>
            </w:pPr>
            <w:r>
              <w:rPr>
                <w:b/>
                <w:bCs/>
                <w:sz w:val="19"/>
                <w:szCs w:val="19"/>
              </w:rPr>
              <w:t xml:space="preserve">Philae-tempel</w:t>
            </w:r>
          </w:p>
          <w:p>
            <w:pPr>
              <w:spacing w:after="0" w:line="252"/>
            </w:pPr>
            <w:r>
              <w:rPr>
                <w:color w:val="59647A"/>
                <w:sz w:val="17"/>
                <w:szCs w:val="17"/>
              </w:rPr>
              <w:t xml:space="preserve">Tempel van Isis op een eiland; bootje ± 300 EGP per boot.</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550 EGP</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275 EGP</w:t>
            </w:r>
          </w:p>
        </w:tc>
        <w:tc>
          <w:tcPr>
            <w:tcW w:type="dxa" w:w="18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jc w:val="right"/>
            </w:pPr>
            <w:r>
              <w:rPr>
                <w:b/>
                <w:bCs/>
                <w:color w:val="1F4FA3"/>
                <w:sz w:val="21"/>
                <w:szCs w:val="21"/>
              </w:rPr>
              <w:t xml:space="preserve">€ 30</w:t>
            </w:r>
          </w:p>
          <w:p>
            <w:pPr>
              <w:spacing w:after="0"/>
              <w:jc w:val="right"/>
            </w:pPr>
            <w:r>
              <w:rPr>
                <w:color w:val="59647A"/>
                <w:sz w:val="15"/>
                <w:szCs w:val="15"/>
              </w:rPr>
              <w:t xml:space="preserve">1.650 EGP</w:t>
            </w:r>
          </w:p>
        </w:tc>
      </w:tr>
    </w:tbl>
    <w:p>
      <w:pPr>
        <w:spacing w:after="160"/>
      </w:pPr>
    </w:p>
    <w:p>
      <w:pPr>
        <w:pStyle w:val="Heading2"/>
      </w:pPr>
      <w:r>
        <w:t xml:space="preserve">Rode Zee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38"/>
        <w:gridCol w:w="1400"/>
        <w:gridCol w:w="1400"/>
        <w:gridCol w:w="1800"/>
      </w:tblGrid>
      <w:tr>
        <w:trPr>
          <w:tblHeader/>
        </w:trPr>
        <w:tc>
          <w:tcPr>
            <w:tcW w:type="dxa" w:w="5038"/>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Bezienswaardigheid</w:t>
            </w:r>
          </w:p>
        </w:tc>
        <w:tc>
          <w:tcPr>
            <w:tcW w:type="dxa" w:w="14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Volwassene</w:t>
            </w:r>
          </w:p>
        </w:tc>
        <w:tc>
          <w:tcPr>
            <w:tcW w:type="dxa" w:w="14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Kind 6–17</w:t>
            </w:r>
          </w:p>
        </w:tc>
        <w:tc>
          <w:tcPr>
            <w:tcW w:type="dxa" w:w="18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Gezin (2+2)</w:t>
            </w:r>
          </w:p>
        </w:tc>
      </w:tr>
      <w:tr>
        <w:trPr>
          <w:cantSplit/>
        </w:trPr>
        <w:tc>
          <w:tcPr>
            <w:tcW w:type="dxa" w:w="50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30"/>
            </w:pPr>
            <w:r>
              <w:rPr>
                <w:b/>
                <w:bCs/>
                <w:sz w:val="19"/>
                <w:szCs w:val="19"/>
              </w:rPr>
              <w:t xml:space="preserve">Snorkeltrip naar de koraalriffen</w:t>
            </w:r>
            <w:r>
              <w:rPr>
                <w:b/>
                <w:bCs/>
                <w:color w:val="B9811A"/>
                <w:sz w:val="15"/>
                <w:szCs w:val="15"/>
              </w:rPr>
              <w:t xml:space="preserve">  ★ must-see</w:t>
            </w:r>
          </w:p>
          <w:p>
            <w:pPr>
              <w:spacing w:after="0" w:line="252"/>
            </w:pPr>
            <w:r>
              <w:rPr>
                <w:color w:val="59647A"/>
                <w:sz w:val="17"/>
                <w:szCs w:val="17"/>
              </w:rPr>
              <w:t xml:space="preserve">Dagtocht per boot met 2 snorkelstops, lunch en materiaal.</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€ 35</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€ 20</w:t>
            </w:r>
          </w:p>
        </w:tc>
        <w:tc>
          <w:tcPr>
            <w:tcW w:type="dxa" w:w="18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jc w:val="right"/>
            </w:pPr>
            <w:r>
              <w:rPr>
                <w:b/>
                <w:bCs/>
                <w:color w:val="1F4FA3"/>
                <w:sz w:val="21"/>
                <w:szCs w:val="21"/>
              </w:rPr>
              <w:t xml:space="preserve">€ 110</w:t>
            </w:r>
          </w:p>
          <w:p>
            <w:pPr>
              <w:spacing w:after="0"/>
              <w:jc w:val="right"/>
            </w:pPr>
            <w:r>
              <w:rPr>
                <w:color w:val="59647A"/>
                <w:sz w:val="15"/>
                <w:szCs w:val="15"/>
              </w:rPr>
              <w:t xml:space="preserve">± 6.050 EGP</w:t>
            </w:r>
          </w:p>
        </w:tc>
      </w:tr>
      <w:tr>
        <w:trPr>
          <w:cantSplit/>
        </w:trPr>
        <w:tc>
          <w:tcPr>
            <w:tcW w:type="dxa" w:w="50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30"/>
            </w:pPr>
            <w:r>
              <w:rPr>
                <w:b/>
                <w:bCs/>
                <w:sz w:val="19"/>
                <w:szCs w:val="19"/>
              </w:rPr>
              <w:t xml:space="preserve">Woestijnsafari</w:t>
            </w:r>
          </w:p>
          <w:p>
            <w:pPr>
              <w:spacing w:after="0" w:line="252"/>
            </w:pPr>
            <w:r>
              <w:rPr>
                <w:color w:val="59647A"/>
                <w:sz w:val="17"/>
                <w:szCs w:val="17"/>
              </w:rPr>
              <w:t xml:space="preserve">Quad, kameelrit en bedoeïenendiner onder de sterren.</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€ 40</w:t>
            </w:r>
          </w:p>
        </w:tc>
        <w:tc>
          <w:tcPr>
            <w:tcW w:type="dxa" w:w="1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€ 25</w:t>
            </w:r>
          </w:p>
        </w:tc>
        <w:tc>
          <w:tcPr>
            <w:tcW w:type="dxa" w:w="18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jc w:val="right"/>
            </w:pPr>
            <w:r>
              <w:rPr>
                <w:b/>
                <w:bCs/>
                <w:color w:val="1F4FA3"/>
                <w:sz w:val="21"/>
                <w:szCs w:val="21"/>
              </w:rPr>
              <w:t xml:space="preserve">€ 130</w:t>
            </w:r>
          </w:p>
          <w:p>
            <w:pPr>
              <w:spacing w:after="0"/>
              <w:jc w:val="right"/>
            </w:pPr>
            <w:r>
              <w:rPr>
                <w:color w:val="59647A"/>
                <w:sz w:val="15"/>
                <w:szCs w:val="15"/>
              </w:rPr>
              <w:t xml:space="preserve">± 7.150 EGP</w:t>
            </w:r>
          </w:p>
        </w:tc>
      </w:tr>
    </w:tbl>
    <w:p>
      <w:pPr>
        <w:spacing w:after="160"/>
      </w:pPr>
    </w:p>
    <w:p>
      <w:pPr>
        <w:pStyle w:val="Heading2"/>
      </w:pPr>
      <w:r>
        <w:t xml:space="preserve">Voorbeeld: de must-sees voor een gezin (2+2)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38"/>
        <w:gridCol w:w="2400"/>
        <w:gridCol w:w="2000"/>
      </w:tblGrid>
      <w:tr>
        <w:trPr>
          <w:tblHeader/>
        </w:trPr>
        <w:tc>
          <w:tcPr>
            <w:tcW w:type="dxa" w:w="5238"/>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Bezienswaardigheid</w:t>
            </w:r>
          </w:p>
        </w:tc>
        <w:tc>
          <w:tcPr>
            <w:tcW w:type="dxa" w:w="24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Regio</w:t>
            </w:r>
          </w:p>
        </w:tc>
        <w:tc>
          <w:tcPr>
            <w:tcW w:type="dxa" w:w="2000"/>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jc w:val="right"/>
            </w:pPr>
            <w:r>
              <w:rPr>
                <w:b/>
                <w:bCs/>
                <w:color w:val="FFFFFF"/>
                <w:sz w:val="17"/>
                <w:szCs w:val="17"/>
              </w:rPr>
              <w:t xml:space="preserve">Gezin (2+2)</w:t>
            </w:r>
          </w:p>
        </w:tc>
      </w:tr>
      <w:tr>
        <w:trPr>
          <w:cantSplit/>
        </w:trPr>
        <w:tc>
          <w:tcPr>
            <w:tcW w:type="dxa" w:w="52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Piramiden van Gizeh &amp; Sfinx</w:t>
            </w:r>
          </w:p>
        </w:tc>
        <w:tc>
          <w:tcPr>
            <w:tcW w:type="dxa" w:w="2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Caïro &amp; Gizeh</w:t>
            </w:r>
          </w:p>
        </w:tc>
        <w:tc>
          <w:tcPr>
            <w:tcW w:type="dxa" w:w="20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€ 38</w:t>
            </w:r>
          </w:p>
        </w:tc>
      </w:tr>
      <w:tr>
        <w:trPr>
          <w:cantSplit/>
        </w:trPr>
        <w:tc>
          <w:tcPr>
            <w:tcW w:type="dxa" w:w="52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Grand Egyptian Museum (GEM)</w:t>
            </w:r>
          </w:p>
        </w:tc>
        <w:tc>
          <w:tcPr>
            <w:tcW w:type="dxa" w:w="2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Caïro &amp; Gizeh</w:t>
            </w:r>
          </w:p>
        </w:tc>
        <w:tc>
          <w:tcPr>
            <w:tcW w:type="dxa" w:w="20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€ 93</w:t>
            </w:r>
          </w:p>
        </w:tc>
      </w:tr>
      <w:tr>
        <w:trPr>
          <w:cantSplit/>
        </w:trPr>
        <w:tc>
          <w:tcPr>
            <w:tcW w:type="dxa" w:w="52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Tempelcomplex van Karnak</w:t>
            </w:r>
          </w:p>
        </w:tc>
        <w:tc>
          <w:tcPr>
            <w:tcW w:type="dxa" w:w="2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Luxor</w:t>
            </w:r>
          </w:p>
        </w:tc>
        <w:tc>
          <w:tcPr>
            <w:tcW w:type="dxa" w:w="20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€ 33</w:t>
            </w:r>
          </w:p>
        </w:tc>
      </w:tr>
      <w:tr>
        <w:trPr>
          <w:cantSplit/>
        </w:trPr>
        <w:tc>
          <w:tcPr>
            <w:tcW w:type="dxa" w:w="52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Vallei der Koningen</w:t>
            </w:r>
          </w:p>
        </w:tc>
        <w:tc>
          <w:tcPr>
            <w:tcW w:type="dxa" w:w="2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Luxor</w:t>
            </w:r>
          </w:p>
        </w:tc>
        <w:tc>
          <w:tcPr>
            <w:tcW w:type="dxa" w:w="20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€ 41</w:t>
            </w:r>
          </w:p>
        </w:tc>
      </w:tr>
      <w:tr>
        <w:trPr>
          <w:cantSplit/>
        </w:trPr>
        <w:tc>
          <w:tcPr>
            <w:tcW w:type="dxa" w:w="5238"/>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Snorkeltrip naar de koraalriffen</w:t>
            </w:r>
          </w:p>
        </w:tc>
        <w:tc>
          <w:tcPr>
            <w:tcW w:type="dxa" w:w="24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Rode Zee</w:t>
            </w:r>
          </w:p>
        </w:tc>
        <w:tc>
          <w:tcPr>
            <w:tcW w:type="dxa" w:w="2000"/>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jc w:val="right"/>
            </w:pPr>
            <w:r>
              <w:rPr>
                <w:sz w:val="19"/>
                <w:szCs w:val="19"/>
              </w:rPr>
              <w:t xml:space="preserve">€ 110</w:t>
            </w:r>
          </w:p>
        </w:tc>
      </w:tr>
      <w:tr>
        <w:trPr>
          <w:cantSplit/>
        </w:trPr>
        <w:tc>
          <w:tcPr>
            <w:tcW w:type="dxa" w:w="5238"/>
            <w:tcBorders>
              <w:top w:val="none" w:color="FFFFFF" w:sz="0"/>
              <w:left w:val="none" w:color="FFFFFF" w:sz="0"/>
              <w:bottom w:val="single" w:color="D9DDE3" w:sz="4"/>
              <w:right w:val="none" w:color="FFFFFF" w:sz="0"/>
            </w:tcBorders>
            <w:shd w:fill="E3EBF8" w:color="auto" w:val="clear"/>
            <w:tcMar>
              <w:top w:type="dxa" w:w="70"/>
              <w:left w:type="dxa" w:w="100"/>
              <w:bottom w:type="dxa" w:w="70"/>
              <w:right w:type="dxa" w:w="100"/>
            </w:tcMar>
            <w:vAlign w:val="center"/>
          </w:tcPr>
          <w:p>
            <w:pPr>
              <w:spacing w:after="0" w:line="260"/>
            </w:pPr>
            <w:r>
              <w:rPr>
                <w:b/>
                <w:bCs/>
                <w:sz w:val="19"/>
                <w:szCs w:val="19"/>
              </w:rPr>
              <w:t xml:space="preserve">Totaal toegangen</w:t>
            </w:r>
          </w:p>
        </w:tc>
        <w:tc>
          <w:tcPr>
            <w:tcW w:type="dxa" w:w="2400"/>
            <w:tcBorders>
              <w:top w:val="none" w:color="FFFFFF" w:sz="0"/>
              <w:left w:val="none" w:color="FFFFFF" w:sz="0"/>
              <w:bottom w:val="single" w:color="D9DDE3" w:sz="4"/>
              <w:right w:val="none" w:color="FFFFFF" w:sz="0"/>
            </w:tcBorders>
            <w:shd w:fill="E3EBF8" w:color="auto" w:val="clear"/>
            <w:tcMar>
              <w:top w:type="dxa" w:w="70"/>
              <w:left w:type="dxa" w:w="100"/>
              <w:bottom w:type="dxa" w:w="70"/>
              <w:right w:type="dxa" w:w="100"/>
            </w:tcMar>
            <w:vAlign w:val="center"/>
          </w:tcPr>
          <w:p>
            <w:pPr>
              <w:spacing w:after="0" w:line="260"/>
            </w:pPr>
            <w:r>
              <w:rPr>
                <w:sz w:val="19"/>
                <w:szCs w:val="19"/>
              </w:rPr>
              <w:t xml:space="preserve"/>
            </w:r>
          </w:p>
        </w:tc>
        <w:tc>
          <w:tcPr>
            <w:tcW w:type="dxa" w:w="2000"/>
            <w:tcBorders>
              <w:top w:val="none" w:color="FFFFFF" w:sz="0"/>
              <w:left w:val="none" w:color="FFFFFF" w:sz="0"/>
              <w:bottom w:val="single" w:color="D9DDE3" w:sz="4"/>
              <w:right w:val="none" w:color="FFFFFF" w:sz="0"/>
            </w:tcBorders>
            <w:shd w:fill="E3EBF8" w:color="auto" w:val="clear"/>
            <w:tcMar>
              <w:top w:type="dxa" w:w="70"/>
              <w:left w:type="dxa" w:w="100"/>
              <w:bottom w:type="dxa" w:w="70"/>
              <w:right w:type="dxa" w:w="100"/>
            </w:tcMar>
            <w:vAlign w:val="center"/>
          </w:tcPr>
          <w:p>
            <w:pPr>
              <w:spacing w:after="0" w:line="260"/>
              <w:jc w:val="right"/>
            </w:pPr>
            <w:r>
              <w:rPr>
                <w:b/>
                <w:bCs/>
                <w:color w:val="1F4FA3"/>
                <w:sz w:val="19"/>
                <w:szCs w:val="19"/>
              </w:rPr>
              <w:t xml:space="preserve">€ 315</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FA3" w:sz="24"/>
              <w:bottom w:val="none" w:color="FFFFFF" w:sz="0"/>
              <w:right w:val="none" w:color="FFFFFF" w:sz="0"/>
            </w:tcBorders>
            <w:shd w:fill="E3EBF8" w:color="auto" w:val="clear"/>
            <w:tcMar>
              <w:top w:type="dxa" w:w="140"/>
              <w:left w:type="dxa" w:w="220"/>
              <w:bottom w:type="dxa" w:w="140"/>
              <w:right w:type="dxa" w:w="220"/>
            </w:tcMar>
          </w:tcPr>
          <w:p>
            <w:pPr>
              <w:spacing w:after="80"/>
            </w:pPr>
            <w:r>
              <w:rPr>
                <w:b/>
                <w:bCs/>
                <w:color w:val="1F4FA3"/>
              </w:rPr>
              <w:t xml:space="preserve">Goed om te weten</w:t>
            </w:r>
          </w:p>
          <w:p>
            <w:pPr>
              <w:spacing w:after="60" w:line="276"/>
            </w:pPr>
            <w:r>
              <w:t xml:space="preserve">Kinderen onder 6 jaar mogen gratis binnen in musea en monumenten (niet toegelaten bij de ballonvaart).</w:t>
            </w:r>
          </w:p>
          <w:p>
            <w:pPr>
              <w:spacing w:after="60" w:line="276"/>
            </w:pPr>
            <w:r>
              <w:t xml:space="preserve">Kinderen vanaf 6 jaar en studenten met studentenkaart betalen meestal het halve tarief.</w:t>
            </w:r>
          </w:p>
          <w:p>
            <w:pPr>
              <w:spacing w:after="60" w:line="276"/>
            </w:pPr>
            <w:r>
              <w:t xml:space="preserve">Prijzen zijn richtprijzen voor buitenlandse bezoekers (2026), afgerond. Excursies zijn gemiddelde prijzen van lokale aanbieders.</w:t>
            </w:r>
          </w:p>
          <w:p>
            <w:pPr>
              <w:spacing w:after="60" w:line="276"/>
            </w:pPr>
            <w:r>
              <w:t xml:space="preserve">Vervoer, gids en fooien zijn niet inbegrepen. Aan veel kassa’s kan je alleen met bankkaart betalen.</w:t>
            </w:r>
          </w:p>
          <w:p>
            <w:pPr>
              <w:spacing w:after="60" w:line="276"/>
            </w:pPr>
            <w:r>
              <w:t xml:space="preserve">Controleer de actuele prijzen op egymonuments.gov.eg.</w:t>
            </w:r>
          </w:p>
        </w:tc>
      </w:tr>
    </w:tbl>
    <w:p>
      <w:pPr>
        <w:spacing w:after="360"/>
      </w:pPr>
    </w:p>
    <w:p>
      <w:pPr>
        <w:spacing w:after="40" w:before="120"/>
      </w:pPr>
      <w:r>
        <w:rPr>
          <w:b/>
          <w:bCs/>
          <w:color w:val="B9811A"/>
          <w:spacing w:val="40"/>
          <w:sz w:val="18"/>
          <w:szCs w:val="18"/>
        </w:rPr>
        <w:t xml:space="preserve">5 · PRAKTISCH</w:t>
      </w:r>
    </w:p>
    <w:p>
      <w:pPr>
        <w:pStyle w:val="Heading1"/>
      </w:pPr>
      <w:r>
        <w:t xml:space="preserve">Voor je vertrekt</w:t>
      </w:r>
    </w:p>
    <w:p>
      <w:pPr>
        <w:pStyle w:val="Heading2"/>
      </w:pPr>
      <w:r>
        <w:t xml:space="preserve">Paspoort &amp; visum</w:t>
      </w:r>
    </w:p>
    <w:p>
      <w:pPr>
        <w:spacing w:after="120" w:line="288"/>
      </w:pPr>
      <w:r>
        <w:t xml:space="preserve">Je paspoort moet nog minstens 6 maanden geldig zijn na aankomst. Belgen hebben een visum nodig: vraag vooraf een e-visum aan (visa2egypt.gov.eg) of koop het bij aankomst op de luchthaven (± 25 USD per persoon). In Sharm el-Sheikh volstaat een gratis stempel als je in de Zuid-Sinaï blijft.</w:t>
      </w:r>
    </w:p>
    <w:p>
      <w:pPr>
        <w:pStyle w:val="Heading2"/>
      </w:pPr>
      <w:r>
        <w:t xml:space="preserve">Geld</w:t>
      </w:r>
    </w:p>
    <w:p>
      <w:pPr>
        <w:spacing w:after="120" w:line="288"/>
      </w:pPr>
      <w:r>
        <w:t xml:space="preserve">Egyptisch pond (EGP of LE). Richtkoers ± 55 EGP voor 1 €. Bankkaarten werken in hotels en aan veel kassa’s; houd kleine biljetten bij voor fooien (bakshish), die in Egypte heel gebruikelijk zijn.</w:t>
      </w:r>
    </w:p>
    <w:p>
      <w:pPr>
        <w:pStyle w:val="Heading2"/>
      </w:pPr>
      <w:r>
        <w:t xml:space="preserve">Elektriciteit</w:t>
      </w:r>
    </w:p>
    <w:p>
      <w:pPr>
        <w:spacing w:after="120" w:line="288"/>
      </w:pPr>
      <w:r>
        <w:t xml:space="preserve">220 volt met dezelfde stekkers als in België (type C en F). Een adapter is niet nodig.</w:t>
      </w:r>
    </w:p>
    <w:p>
      <w:pPr>
        <w:pStyle w:val="Heading2"/>
      </w:pPr>
      <w:r>
        <w:t xml:space="preserve">Gezondheid</w:t>
      </w:r>
    </w:p>
    <w:p>
      <w:pPr>
        <w:spacing w:after="120" w:line="288"/>
      </w:pPr>
      <w:r>
        <w:t xml:space="preserve">Drink geen kraantjeswater, ook niet in ijsblokjes. Neem zonnecrème, een hoed en voldoende water mee. Laat je vaccinaties (zoals hepatitis A en tetanus) checken bij je huisarts of een reiskliniek.</w:t>
      </w:r>
    </w:p>
    <w:p>
      <w:pPr>
        <w:pStyle w:val="Heading2"/>
      </w:pPr>
      <w:r>
        <w:t xml:space="preserve">Kleding &amp; gewoonten</w:t>
      </w:r>
    </w:p>
    <w:p>
      <w:pPr>
        <w:spacing w:after="120" w:line="288"/>
      </w:pPr>
      <w:r>
        <w:t xml:space="preserve">Egypte is overwegend islamitisch. Bedek schouders en knieën bij moskeeën en in steden; aan het strand van een resort kan alles. Vraag toestemming voor je mensen fotografeert.</w:t>
      </w:r>
    </w:p>
    <w:p>
      <w:pPr>
        <w:pStyle w:val="Heading2"/>
      </w:pPr>
      <w:r>
        <w:t xml:space="preserve">Veiligheid</w:t>
      </w:r>
    </w:p>
    <w:p>
      <w:pPr>
        <w:spacing w:after="120" w:line="288"/>
      </w:pPr>
      <w:r>
        <w:t xml:space="preserve">Lees het reisadvies van FOD Buitenlandse Zaken op diplomatie.belgium.be en registreer je reis via Travellers Online. De Belgische ambassade zit in Caïro.</w:t>
      </w:r>
    </w:p>
    <w:p>
      <w:pPr>
        <w:pStyle w:val="Heading2"/>
      </w:pPr>
      <w:r>
        <w:t xml:space="preserve">Noodnummers in Egypte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Dienst</w:t>
            </w:r>
          </w:p>
        </w:tc>
        <w:tc>
          <w:tcPr>
            <w:tcW w:type="dxa" w:w="4819"/>
            <w:tcBorders>
              <w:top w:val="none" w:color="FFFFFF" w:sz="0"/>
              <w:left w:val="none" w:color="FFFFFF" w:sz="0"/>
              <w:bottom w:val="single" w:color="D9DDE3" w:sz="4"/>
              <w:right w:val="none" w:color="FFFFFF" w:sz="0"/>
            </w:tcBorders>
            <w:shd w:fill="1F4FA3" w:color="auto" w:val="clear"/>
            <w:tcMar>
              <w:top w:type="dxa" w:w="70"/>
              <w:left w:type="dxa" w:w="100"/>
              <w:bottom w:type="dxa" w:w="70"/>
              <w:right w:type="dxa" w:w="100"/>
            </w:tcMar>
            <w:vAlign w:val="center"/>
          </w:tcPr>
          <w:p>
            <w:pPr>
              <w:spacing w:after="0" w:line="260"/>
            </w:pPr>
            <w:r>
              <w:rPr>
                <w:b/>
                <w:bCs/>
                <w:color w:val="FFFFFF"/>
                <w:sz w:val="17"/>
                <w:szCs w:val="17"/>
              </w:rPr>
              <w:t xml:space="preserve">Nummer</w:t>
            </w:r>
          </w:p>
        </w:tc>
      </w:tr>
      <w:tr>
        <w:trPr>
          <w:cantSplit/>
        </w:trPr>
        <w:tc>
          <w:tcPr>
            <w:tcW w:type="dxa" w:w="48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Toeristische politie</w:t>
            </w:r>
          </w:p>
        </w:tc>
        <w:tc>
          <w:tcPr>
            <w:tcW w:type="dxa" w:w="48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126</w:t>
            </w:r>
          </w:p>
        </w:tc>
      </w:tr>
      <w:tr>
        <w:trPr>
          <w:cantSplit/>
        </w:trPr>
        <w:tc>
          <w:tcPr>
            <w:tcW w:type="dxa" w:w="481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Politie</w:t>
            </w:r>
          </w:p>
        </w:tc>
        <w:tc>
          <w:tcPr>
            <w:tcW w:type="dxa" w:w="481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122</w:t>
            </w:r>
          </w:p>
        </w:tc>
      </w:tr>
      <w:tr>
        <w:trPr>
          <w:cantSplit/>
        </w:trPr>
        <w:tc>
          <w:tcPr>
            <w:tcW w:type="dxa" w:w="48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Ambulance</w:t>
            </w:r>
          </w:p>
        </w:tc>
        <w:tc>
          <w:tcPr>
            <w:tcW w:type="dxa" w:w="4819"/>
            <w:tcBorders>
              <w:top w:val="none" w:color="FFFFFF" w:sz="0"/>
              <w:left w:val="none" w:color="FFFFFF" w:sz="0"/>
              <w:bottom w:val="single" w:color="D9DDE3" w:sz="4"/>
              <w:right w:val="none" w:color="FFFFFF" w:sz="0"/>
            </w:tcBorders>
            <w:tcMar>
              <w:top w:type="dxa" w:w="70"/>
              <w:left w:type="dxa" w:w="100"/>
              <w:bottom w:type="dxa" w:w="70"/>
              <w:right w:type="dxa" w:w="100"/>
            </w:tcMar>
            <w:vAlign w:val="center"/>
          </w:tcPr>
          <w:p>
            <w:pPr>
              <w:spacing w:after="0" w:line="260"/>
            </w:pPr>
            <w:r>
              <w:rPr>
                <w:sz w:val="19"/>
                <w:szCs w:val="19"/>
              </w:rPr>
              <w:t xml:space="preserve">123</w:t>
            </w:r>
          </w:p>
        </w:tc>
      </w:tr>
      <w:tr>
        <w:trPr>
          <w:cantSplit/>
        </w:trPr>
        <w:tc>
          <w:tcPr>
            <w:tcW w:type="dxa" w:w="481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Brandweer</w:t>
            </w:r>
          </w:p>
        </w:tc>
        <w:tc>
          <w:tcPr>
            <w:tcW w:type="dxa" w:w="4819"/>
            <w:tcBorders>
              <w:top w:val="none" w:color="FFFFFF" w:sz="0"/>
              <w:left w:val="none" w:color="FFFFFF" w:sz="0"/>
              <w:bottom w:val="single" w:color="D9DDE3" w:sz="4"/>
              <w:right w:val="none" w:color="FFFFFF" w:sz="0"/>
            </w:tcBorders>
            <w:shd w:fill="F4F5F2" w:color="auto" w:val="clear"/>
            <w:tcMar>
              <w:top w:type="dxa" w:w="70"/>
              <w:left w:type="dxa" w:w="100"/>
              <w:bottom w:type="dxa" w:w="70"/>
              <w:right w:type="dxa" w:w="100"/>
            </w:tcMar>
            <w:vAlign w:val="center"/>
          </w:tcPr>
          <w:p>
            <w:pPr>
              <w:spacing w:after="0" w:line="260"/>
            </w:pPr>
            <w:r>
              <w:rPr>
                <w:sz w:val="19"/>
                <w:szCs w:val="19"/>
              </w:rPr>
              <w:t xml:space="preserve">180</w:t>
            </w:r>
          </w:p>
        </w:tc>
      </w:tr>
    </w:tbl>
    <w:p>
      <w:pPr>
        <w:spacing w:after="200"/>
      </w:pPr>
    </w:p>
    <w:p>
      <w:pPr>
        <w:pStyle w:val="Heading2"/>
      </w:pPr>
      <w:r>
        <w:t xml:space="preserve">Checklist voor vertrek</w:t>
      </w:r>
    </w:p>
    <w:p>
      <w:pPr>
        <w:pStyle w:val="ListParagraph"/>
        <w:numPr>
          <w:ilvl w:val="0"/>
          <w:numId w:val="2"/>
        </w:numPr>
        <w:spacing w:after="80" w:line="276"/>
      </w:pPr>
      <w:r>
        <w:t xml:space="preserve">Paspoort (6 maanden geldig) en visum</w:t>
      </w:r>
    </w:p>
    <w:p>
      <w:pPr>
        <w:pStyle w:val="ListParagraph"/>
        <w:numPr>
          <w:ilvl w:val="0"/>
          <w:numId w:val="2"/>
        </w:numPr>
        <w:spacing w:after="80" w:line="276"/>
      </w:pPr>
      <w:r>
        <w:t xml:space="preserve">Reis- en annuleringsverzekering</w:t>
      </w:r>
    </w:p>
    <w:p>
      <w:pPr>
        <w:pStyle w:val="ListParagraph"/>
        <w:numPr>
          <w:ilvl w:val="0"/>
          <w:numId w:val="2"/>
        </w:numPr>
        <w:spacing w:after="80" w:line="276"/>
      </w:pPr>
      <w:r>
        <w:t xml:space="preserve">Bankkaart en wat euro’s of dollars voor het visum</w:t>
      </w:r>
    </w:p>
    <w:p>
      <w:pPr>
        <w:pStyle w:val="ListParagraph"/>
        <w:numPr>
          <w:ilvl w:val="0"/>
          <w:numId w:val="2"/>
        </w:numPr>
        <w:spacing w:after="80" w:line="276"/>
      </w:pPr>
      <w:r>
        <w:t xml:space="preserve">Zonnecrème, zonnebril, hoed</w:t>
      </w:r>
    </w:p>
    <w:p>
      <w:pPr>
        <w:pStyle w:val="ListParagraph"/>
        <w:numPr>
          <w:ilvl w:val="0"/>
          <w:numId w:val="2"/>
        </w:numPr>
        <w:spacing w:after="80" w:line="276"/>
      </w:pPr>
      <w:r>
        <w:t xml:space="preserve">Trui of jas voor koele avonden (winter)</w:t>
      </w:r>
    </w:p>
    <w:p>
      <w:pPr>
        <w:pStyle w:val="ListParagraph"/>
        <w:numPr>
          <w:ilvl w:val="0"/>
          <w:numId w:val="2"/>
        </w:numPr>
        <w:spacing w:after="80" w:line="276"/>
      </w:pPr>
      <w:r>
        <w:t xml:space="preserve">Waterschoenen en snorkelspullen voor de Rode Zee</w:t>
      </w:r>
    </w:p>
    <w:p>
      <w:pPr>
        <w:pStyle w:val="ListParagraph"/>
        <w:numPr>
          <w:ilvl w:val="0"/>
          <w:numId w:val="2"/>
        </w:numPr>
        <w:spacing w:after="80" w:line="276"/>
      </w:pPr>
      <w:r>
        <w:t xml:space="preserve">Medicijnen tegen maag- en darmproblemen</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647A"/>
        <w:sz w:val="16"/>
        <w:szCs w:val="16"/>
      </w:rPr>
      <w:t xml:space="preserve">Pagina </w:t>
    </w:r>
    <w:r>
      <w:rPr>
        <w:color w:val="59647A"/>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B9811A"/>
        <w:spacing w:val="40"/>
        <w:sz w:val="16"/>
        <w:szCs w:val="16"/>
      </w:rPr>
      <w:t xml:space="preserve">Reisbrochure Egypte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3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Georgia" w:cs="Georgia" w:eastAsia="Georgia" w:hAnsi="Georgia"/>
      <w:color w:val="1F4FA3"/>
      <w:sz w:val="44"/>
      <w:szCs w:val="44"/>
    </w:rPr>
  </w:style>
  <w:style w:type="paragraph" w:styleId="Heading2">
    <w:name w:val="Heading 2"/>
    <w:basedOn w:val="Normal"/>
    <w:next w:val="Normal"/>
    <w:qFormat/>
    <w:pPr>
      <w:keepNext/>
      <w:spacing w:after="80" w:before="200"/>
      <w:outlineLvl w:val="1"/>
    </w:pPr>
    <w:rPr>
      <w:rFonts w:ascii="Georgia" w:cs="Georgia" w:eastAsia="Georgia" w:hAnsi="Georgia"/>
      <w:color w:val="0F8A83"/>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19cfd9acd9412249b902455877c7fd03535bea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Reisbrochure Egypte</dc:title>
  <dc:creator>Reisbrochure</dc:creator>
  <cp:lastModifiedBy>Un-named</cp:lastModifiedBy>
  <cp:revision>1</cp:revision>
  <dcterms:created xsi:type="dcterms:W3CDTF">2026-10-18T17:55:42.875Z</dcterms:created>
  <dcterms:modified xsi:type="dcterms:W3CDTF">2026-10-18T17:55:42.875Z</dcterms:modified>
</cp:coreProperties>
</file>

<file path=docProps/custom.xml><?xml version="1.0" encoding="utf-8"?>
<Properties xmlns="http://schemas.openxmlformats.org/officeDocument/2006/custom-properties" xmlns:vt="http://schemas.openxmlformats.org/officeDocument/2006/docPropsVTypes"/>
</file>