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9811A"/>
          <w:spacing w:val="120"/>
          <w:sz w:val="20"/>
          <w:szCs w:val="20"/>
        </w:rPr>
        <w:t xml:space="preserve">REISBROCHURE</w:t>
      </w:r>
    </w:p>
    <w:p>
      <w:pPr>
        <w:pBdr>
          <w:bottom w:val="single" w:color="B9811A" w:sz="12" w:space="8"/>
        </w:pBdr>
        <w:spacing w:after="120"/>
      </w:pPr>
      <w:r>
        <w:rPr>
          <w:rFonts w:ascii="Georgia" w:cs="Georgia" w:eastAsia="Georgia" w:hAnsi="Georgia"/>
          <w:color w:val="1F4FA3"/>
          <w:sz w:val="96"/>
          <w:szCs w:val="96"/>
        </w:rPr>
        <w:t xml:space="preserve">Egypte</w:t>
      </w:r>
    </w:p>
    <w:p>
      <w:pPr>
        <w:spacing w:after="200" w:line="300"/>
      </w:pPr>
      <w:r>
        <w:rPr>
          <w:sz w:val="23"/>
          <w:szCs w:val="23"/>
        </w:rPr>
        <w:t xml:space="preserve">Piramiden, tempels langs de Nijl en het koraal van de Rode Zee, op 4,5 uur vliegen van Brussel. Alles wat je gezin moet weten om een reis te plannen.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single" w:color="FFFFFF" w:sz="12"/>
              <w:bottom w:val="none" w:color="FFFFFF" w:sz="0"/>
              <w:right w:val="single" w:color="FFFFFF" w:sz="12"/>
            </w:tcBorders>
            <w:shd w:fill="E3EBF8" w:color="auto" w:val="clear"/>
            <w:tcMar>
              <w:top w:type="dxa" w:w="100"/>
              <w:left w:type="dxa" w:w="160"/>
              <w:bottom w:type="dxa" w:w="100"/>
              <w:right w:type="dxa" w:w="160"/>
            </w:tcMar>
          </w:tcPr>
          <w:p>
            <w:pPr>
              <w:spacing w:after="20"/>
            </w:pPr>
            <w:r>
              <w:rPr>
                <w:b/>
                <w:bCs/>
                <w:color w:val="59647A"/>
                <w:spacing w:val="30"/>
                <w:sz w:val="15"/>
                <w:szCs w:val="15"/>
              </w:rPr>
              <w:t xml:space="preserve">HOOFDSTAD</w:t>
            </w:r>
          </w:p>
          <w:p>
            <w:pPr>
              <w:spacing w:after="0"/>
            </w:pPr>
            <w:r>
              <w:rPr>
                <w:b/>
                <w:bCs/>
                <w:sz w:val="21"/>
                <w:szCs w:val="21"/>
              </w:rPr>
              <w:t xml:space="preserve">Caïro</w:t>
            </w:r>
          </w:p>
        </w:tc>
        <w:tc>
          <w:tcPr>
            <w:tcW w:type="dxa" w:w="3212"/>
            <w:tcBorders>
              <w:top w:val="none" w:color="FFFFFF" w:sz="0"/>
              <w:left w:val="single" w:color="FFFFFF" w:sz="12"/>
              <w:bottom w:val="none" w:color="FFFFFF" w:sz="0"/>
              <w:right w:val="single" w:color="FFFFFF" w:sz="12"/>
            </w:tcBorders>
            <w:shd w:fill="E3EBF8" w:color="auto" w:val="clear"/>
            <w:tcMar>
              <w:top w:type="dxa" w:w="100"/>
              <w:left w:type="dxa" w:w="160"/>
              <w:bottom w:type="dxa" w:w="100"/>
              <w:right w:type="dxa" w:w="160"/>
            </w:tcMar>
          </w:tcPr>
          <w:p>
            <w:pPr>
              <w:spacing w:after="20"/>
            </w:pPr>
            <w:r>
              <w:rPr>
                <w:b/>
                <w:bCs/>
                <w:color w:val="59647A"/>
                <w:spacing w:val="30"/>
                <w:sz w:val="15"/>
                <w:szCs w:val="15"/>
              </w:rPr>
              <w:t xml:space="preserve">VLIEGTIJD</w:t>
            </w:r>
          </w:p>
          <w:p>
            <w:pPr>
              <w:spacing w:after="0"/>
            </w:pPr>
            <w:r>
              <w:rPr>
                <w:b/>
                <w:bCs/>
                <w:sz w:val="21"/>
                <w:szCs w:val="21"/>
              </w:rPr>
              <w:t xml:space="preserve">± 4u30</w:t>
            </w:r>
          </w:p>
        </w:tc>
        <w:tc>
          <w:tcPr>
            <w:tcW w:type="dxa" w:w="3212"/>
            <w:tcBorders>
              <w:top w:val="none" w:color="FFFFFF" w:sz="0"/>
              <w:left w:val="single" w:color="FFFFFF" w:sz="12"/>
              <w:bottom w:val="none" w:color="FFFFFF" w:sz="0"/>
              <w:right w:val="single" w:color="FFFFFF" w:sz="12"/>
            </w:tcBorders>
            <w:shd w:fill="E3EBF8" w:color="auto" w:val="clear"/>
            <w:tcMar>
              <w:top w:type="dxa" w:w="100"/>
              <w:left w:type="dxa" w:w="160"/>
              <w:bottom w:type="dxa" w:w="100"/>
              <w:right w:type="dxa" w:w="160"/>
            </w:tcMar>
          </w:tcPr>
          <w:p>
            <w:pPr>
              <w:spacing w:after="20"/>
            </w:pPr>
            <w:r>
              <w:rPr>
                <w:b/>
                <w:bCs/>
                <w:color w:val="59647A"/>
                <w:spacing w:val="30"/>
                <w:sz w:val="15"/>
                <w:szCs w:val="15"/>
              </w:rPr>
              <w:t xml:space="preserve">MUNT</w:t>
            </w:r>
          </w:p>
          <w:p>
            <w:pPr>
              <w:spacing w:after="0"/>
            </w:pPr>
            <w:r>
              <w:rPr>
                <w:b/>
                <w:bCs/>
                <w:sz w:val="21"/>
                <w:szCs w:val="21"/>
              </w:rPr>
              <w:t xml:space="preserve">Egyptisch pond (EGP)</w:t>
            </w:r>
          </w:p>
        </w:tc>
      </w:tr>
    </w:tbl>
    <w:p>
      <w:pPr>
        <w:spacing w:after="160"/>
      </w:pPr>
    </w:p>
    <w:p>
      <w:pPr>
        <w:spacing w:after="40" w:before="120"/>
      </w:pPr>
      <w:r>
        <w:rPr>
          <w:b/>
          <w:bCs/>
          <w:color w:val="B9811A"/>
          <w:spacing w:val="40"/>
          <w:sz w:val="18"/>
          <w:szCs w:val="18"/>
        </w:rPr>
        <w:t xml:space="preserve">1 · SITUERING</w:t>
      </w:r>
    </w:p>
    <w:p>
      <w:pPr>
        <w:pStyle w:val="Heading1"/>
      </w:pPr>
      <w:r>
        <w:t xml:space="preserve">Waar ligt Egypte tegenover België?</w:t>
      </w:r>
    </w:p>
    <w:p>
      <w:pPr>
        <w:spacing w:after="100"/>
        <w:jc w:val="center"/>
      </w:pPr>
      <w:r>
        <w:drawing>
          <wp:inline distT="0" distB="0" distL="0" distR="0">
            <wp:extent cx="3238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628900"/>
                    </a:xfrm>
                    <a:prstGeom prst="rect">
                      <a:avLst/>
                    </a:prstGeom>
                  </pic:spPr>
                </pic:pic>
              </a:graphicData>
            </a:graphic>
          </wp:inline>
        </w:drawing>
      </w:r>
    </w:p>
    <w:p>
      <w:pPr>
        <w:pStyle w:val="ListParagraph"/>
        <w:numPr>
          <w:ilvl w:val="0"/>
          <w:numId w:val="2"/>
        </w:numPr>
        <w:spacing w:after="80" w:line="276"/>
      </w:pPr>
      <w:r>
        <w:t xml:space="preserve">Egypte ligt in </w:t>
      </w:r>
      <w:r>
        <w:rPr>
          <w:b/>
          <w:bCs/>
        </w:rPr>
        <w:t xml:space="preserve">Noordoost-Afrika</w:t>
      </w:r>
      <w:r>
        <w:t xml:space="preserve">, ongeveer </w:t>
      </w:r>
      <w:r>
        <w:rPr>
          <w:b/>
          <w:bCs/>
        </w:rPr>
        <w:t xml:space="preserve">3.200 km ten zuidoosten</w:t>
      </w:r>
      <w:r>
        <w:t xml:space="preserve"> van Brussel, aan de overkant van de Middellandse Zee.</w:t>
      </w:r>
    </w:p>
    <w:p>
      <w:pPr>
        <w:pStyle w:val="ListParagraph"/>
        <w:numPr>
          <w:ilvl w:val="0"/>
          <w:numId w:val="2"/>
        </w:numPr>
        <w:spacing w:after="80" w:line="276"/>
      </w:pPr>
      <w:r>
        <w:t xml:space="preserve">Het land is </w:t>
      </w:r>
      <w:r>
        <w:rPr>
          <w:b/>
          <w:bCs/>
        </w:rPr>
        <w:t xml:space="preserve">33 keer zo groot</w:t>
      </w:r>
      <w:r>
        <w:t xml:space="preserve"> als België en telt ± 110 miljoen inwoners (België: 11,8 miljoen).</w:t>
      </w:r>
    </w:p>
    <w:p>
      <w:pPr>
        <w:pStyle w:val="ListParagraph"/>
        <w:numPr>
          <w:ilvl w:val="0"/>
          <w:numId w:val="2"/>
        </w:numPr>
        <w:spacing w:after="80" w:line="276"/>
      </w:pPr>
      <w:r>
        <w:t xml:space="preserve">Caïro ligt op 30° noorderbreedte, Brussel op 51°: Egypte ligt dus veel dichter bij de evenaar.</w:t>
      </w:r>
    </w:p>
    <w:p>
      <w:pPr>
        <w:pStyle w:val="ListParagraph"/>
        <w:numPr>
          <w:ilvl w:val="0"/>
          <w:numId w:val="2"/>
        </w:numPr>
        <w:spacing w:after="80" w:line="276"/>
      </w:pPr>
      <w:r>
        <w:t xml:space="preserve">Rechtstreekse vluchten: Brussel – Caïro ± 4u30, naar Hurghada of Sharm el-Sheikh ± 5 uur.</w:t>
      </w:r>
    </w:p>
    <w:p>
      <w:pPr>
        <w:spacing w:after="120"/>
      </w:pPr>
    </w:p>
    <w:p>
      <w:pPr>
        <w:spacing w:after="40" w:before="120"/>
      </w:pPr>
      <w:r>
        <w:rPr>
          <w:b/>
          <w:bCs/>
          <w:color w:val="B9811A"/>
          <w:spacing w:val="40"/>
          <w:sz w:val="18"/>
          <w:szCs w:val="18"/>
        </w:rPr>
        <w:t xml:space="preserve">2 · TIJDZONE</w:t>
      </w:r>
    </w:p>
    <w:p>
      <w:pPr>
        <w:pStyle w:val="Heading1"/>
      </w:pPr>
      <w:r>
        <w:t xml:space="preserve">Hoe laat is het in Egypte?</w:t>
      </w:r>
    </w:p>
    <w:p>
      <w:pPr>
        <w:spacing w:after="120" w:line="288"/>
      </w:pPr>
      <w:r>
        <w:t xml:space="preserve">België gebruikt de Midden-Europese Tijd (UTC+1, zomer UTC+2). Egypte gebruikt de Oost-Europese Tijd (UTC+2, zomer UTC+3). Egypte ligt één tijdzone verder naar het oosten, dus loopt het er normaal 1 uur voor: is het 12u00 in Brussel, dan is het 13u00 in Caïro.</w:t>
      </w:r>
    </w:p>
    <w:p>
      <w:pPr>
        <w:spacing w:after="120" w:line="288"/>
      </w:pPr>
      <w:r>
        <w:t xml:space="preserve">Toch is het verschil niet altijd 1 uur. België zet de klok vooruit op de laatste zondag van maart, Egypte pas op de laatste vrijdag van april. In het najaar zet België de klok terug op de laatste zondag van oktober, Egypte na de laatste donderdag van oktober. Daardoor verschuift het verschil een paar keer per jaar: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900"/>
        <w:gridCol w:w="1900"/>
        <w:gridCol w:w="2438"/>
      </w:tblGrid>
      <w:tr>
        <w:trPr>
          <w:tblHeader/>
        </w:trPr>
        <w:tc>
          <w:tcPr>
            <w:tcW w:type="dxa" w:w="3400"/>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pPr>
            <w:r>
              <w:rPr>
                <w:b/>
                <w:bCs/>
                <w:color w:val="FFFFFF"/>
                <w:sz w:val="17"/>
                <w:szCs w:val="17"/>
              </w:rPr>
              <w:t xml:space="preserve">Periode 2026</w:t>
            </w:r>
          </w:p>
        </w:tc>
        <w:tc>
          <w:tcPr>
            <w:tcW w:type="dxa" w:w="1900"/>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pPr>
            <w:r>
              <w:rPr>
                <w:b/>
                <w:bCs/>
                <w:color w:val="FFFFFF"/>
                <w:sz w:val="17"/>
                <w:szCs w:val="17"/>
              </w:rPr>
              <w:t xml:space="preserve">België</w:t>
            </w:r>
          </w:p>
        </w:tc>
        <w:tc>
          <w:tcPr>
            <w:tcW w:type="dxa" w:w="1900"/>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pPr>
            <w:r>
              <w:rPr>
                <w:b/>
                <w:bCs/>
                <w:color w:val="FFFFFF"/>
                <w:sz w:val="17"/>
                <w:szCs w:val="17"/>
              </w:rPr>
              <w:t xml:space="preserve">Egypte</w:t>
            </w:r>
          </w:p>
        </w:tc>
        <w:tc>
          <w:tcPr>
            <w:tcW w:type="dxa" w:w="2438"/>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pPr>
            <w:r>
              <w:rPr>
                <w:b/>
                <w:bCs/>
                <w:color w:val="FFFFFF"/>
                <w:sz w:val="17"/>
                <w:szCs w:val="17"/>
              </w:rPr>
              <w:t xml:space="preserve">Tijdsverschil</w:t>
            </w:r>
          </w:p>
        </w:tc>
      </w:tr>
      <w:tr>
        <w:trPr>
          <w:cantSplit/>
        </w:trPr>
        <w:tc>
          <w:tcPr>
            <w:tcW w:type="dxa" w:w="3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1 januari – 28 maart</w:t>
            </w:r>
          </w:p>
        </w:tc>
        <w:tc>
          <w:tcPr>
            <w:tcW w:type="dxa" w:w="19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UTC+1</w:t>
            </w:r>
          </w:p>
        </w:tc>
        <w:tc>
          <w:tcPr>
            <w:tcW w:type="dxa" w:w="19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UTC+2</w:t>
            </w:r>
          </w:p>
        </w:tc>
        <w:tc>
          <w:tcPr>
            <w:tcW w:type="dxa" w:w="2438"/>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b w:val="false"/>
                <w:bCs w:val="false"/>
                <w:sz w:val="19"/>
                <w:szCs w:val="19"/>
              </w:rPr>
              <w:t xml:space="preserve">Egypte +1 uur</w:t>
            </w:r>
          </w:p>
        </w:tc>
      </w:tr>
      <w:tr>
        <w:trPr>
          <w:cantSplit/>
        </w:trPr>
        <w:tc>
          <w:tcPr>
            <w:tcW w:type="dxa" w:w="3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29 maart – 23 april</w:t>
            </w:r>
          </w:p>
        </w:tc>
        <w:tc>
          <w:tcPr>
            <w:tcW w:type="dxa" w:w="19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UTC+2</w:t>
            </w:r>
          </w:p>
        </w:tc>
        <w:tc>
          <w:tcPr>
            <w:tcW w:type="dxa" w:w="19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UTC+2</w:t>
            </w:r>
          </w:p>
        </w:tc>
        <w:tc>
          <w:tcPr>
            <w:tcW w:type="dxa" w:w="2438"/>
            <w:tcBorders>
              <w:top w:val="none" w:color="FFFFFF" w:sz="0"/>
              <w:left w:val="none" w:color="FFFFFF" w:sz="0"/>
              <w:bottom w:val="single" w:color="D9DDE3" w:sz="4"/>
              <w:right w:val="none" w:color="FFFFFF" w:sz="0"/>
            </w:tcBorders>
            <w:shd w:fill="DCF1EE" w:color="auto" w:val="clear"/>
            <w:tcMar>
              <w:top w:type="dxa" w:w="70"/>
              <w:left w:type="dxa" w:w="100"/>
              <w:bottom w:type="dxa" w:w="70"/>
              <w:right w:type="dxa" w:w="100"/>
            </w:tcMar>
            <w:vAlign w:val="center"/>
          </w:tcPr>
          <w:p>
            <w:pPr>
              <w:spacing w:after="0" w:line="260"/>
            </w:pPr>
            <w:r>
              <w:rPr>
                <w:b/>
                <w:bCs/>
                <w:sz w:val="19"/>
                <w:szCs w:val="19"/>
              </w:rPr>
              <w:t xml:space="preserve">geen verschil</w:t>
            </w:r>
          </w:p>
        </w:tc>
      </w:tr>
      <w:tr>
        <w:trPr>
          <w:cantSplit/>
        </w:trPr>
        <w:tc>
          <w:tcPr>
            <w:tcW w:type="dxa" w:w="3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24 april – 24 oktober</w:t>
            </w:r>
          </w:p>
        </w:tc>
        <w:tc>
          <w:tcPr>
            <w:tcW w:type="dxa" w:w="19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UTC+2</w:t>
            </w:r>
          </w:p>
        </w:tc>
        <w:tc>
          <w:tcPr>
            <w:tcW w:type="dxa" w:w="19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UTC+3</w:t>
            </w:r>
          </w:p>
        </w:tc>
        <w:tc>
          <w:tcPr>
            <w:tcW w:type="dxa" w:w="2438"/>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b w:val="false"/>
                <w:bCs w:val="false"/>
                <w:sz w:val="19"/>
                <w:szCs w:val="19"/>
              </w:rPr>
              <w:t xml:space="preserve">Egypte +1 uur</w:t>
            </w:r>
          </w:p>
        </w:tc>
      </w:tr>
      <w:tr>
        <w:trPr>
          <w:cantSplit/>
        </w:trPr>
        <w:tc>
          <w:tcPr>
            <w:tcW w:type="dxa" w:w="3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25 oktober – 29 oktober</w:t>
            </w:r>
          </w:p>
        </w:tc>
        <w:tc>
          <w:tcPr>
            <w:tcW w:type="dxa" w:w="19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UTC+1</w:t>
            </w:r>
          </w:p>
        </w:tc>
        <w:tc>
          <w:tcPr>
            <w:tcW w:type="dxa" w:w="19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UTC+3</w:t>
            </w:r>
          </w:p>
        </w:tc>
        <w:tc>
          <w:tcPr>
            <w:tcW w:type="dxa" w:w="2438"/>
            <w:tcBorders>
              <w:top w:val="none" w:color="FFFFFF" w:sz="0"/>
              <w:left w:val="none" w:color="FFFFFF" w:sz="0"/>
              <w:bottom w:val="single" w:color="D9DDE3" w:sz="4"/>
              <w:right w:val="none" w:color="FFFFFF" w:sz="0"/>
            </w:tcBorders>
            <w:shd w:fill="F8E1DA" w:color="auto" w:val="clear"/>
            <w:tcMar>
              <w:top w:type="dxa" w:w="70"/>
              <w:left w:type="dxa" w:w="100"/>
              <w:bottom w:type="dxa" w:w="70"/>
              <w:right w:type="dxa" w:w="100"/>
            </w:tcMar>
            <w:vAlign w:val="center"/>
          </w:tcPr>
          <w:p>
            <w:pPr>
              <w:spacing w:after="0" w:line="260"/>
            </w:pPr>
            <w:r>
              <w:rPr>
                <w:b/>
                <w:bCs/>
                <w:sz w:val="19"/>
                <w:szCs w:val="19"/>
              </w:rPr>
              <w:t xml:space="preserve">Egypte +2 uur</w:t>
            </w:r>
          </w:p>
        </w:tc>
      </w:tr>
      <w:tr>
        <w:trPr>
          <w:cantSplit/>
        </w:trPr>
        <w:tc>
          <w:tcPr>
            <w:tcW w:type="dxa" w:w="3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30 oktober – 31 december</w:t>
            </w:r>
          </w:p>
        </w:tc>
        <w:tc>
          <w:tcPr>
            <w:tcW w:type="dxa" w:w="19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UTC+1</w:t>
            </w:r>
          </w:p>
        </w:tc>
        <w:tc>
          <w:tcPr>
            <w:tcW w:type="dxa" w:w="19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UTC+2</w:t>
            </w:r>
          </w:p>
        </w:tc>
        <w:tc>
          <w:tcPr>
            <w:tcW w:type="dxa" w:w="2438"/>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b w:val="false"/>
                <w:bCs w:val="false"/>
                <w:sz w:val="19"/>
                <w:szCs w:val="19"/>
              </w:rPr>
              <w:t xml:space="preserve">Egypte +1 uur</w:t>
            </w:r>
          </w:p>
        </w:tc>
      </w:tr>
    </w:tbl>
    <w:p>
      <w:pPr>
        <w:spacing w:after="100"/>
      </w:pPr>
    </w:p>
    <w:p>
      <w:pPr>
        <w:pStyle w:val="ListParagraph"/>
        <w:numPr>
          <w:ilvl w:val="0"/>
          <w:numId w:val="2"/>
        </w:numPr>
        <w:spacing w:after="80" w:line="276"/>
      </w:pPr>
      <w:r>
        <w:rPr>
          <w:b/>
          <w:bCs/>
        </w:rPr>
        <w:t xml:space="preserve">Geen jetlag: </w:t>
      </w:r>
      <w:r>
        <w:t xml:space="preserve">met maximaal 2 uur verschil merk je weinig van de tijd.</w:t>
      </w:r>
    </w:p>
    <w:p>
      <w:pPr>
        <w:pStyle w:val="ListParagraph"/>
        <w:numPr>
          <w:ilvl w:val="0"/>
          <w:numId w:val="2"/>
        </w:numPr>
        <w:spacing w:after="80" w:line="276"/>
      </w:pPr>
      <w:r>
        <w:rPr>
          <w:b/>
          <w:bCs/>
        </w:rPr>
        <w:t xml:space="preserve">Vroeg donker: </w:t>
      </w:r>
      <w:r>
        <w:t xml:space="preserve">in december gaat de zon in Caïro al rond 17u00 onder (16u00 Belgische tijd).</w:t>
      </w:r>
    </w:p>
    <w:p>
      <w:pPr>
        <w:pStyle w:val="ListParagraph"/>
        <w:numPr>
          <w:ilvl w:val="0"/>
          <w:numId w:val="2"/>
        </w:numPr>
        <w:spacing w:after="80" w:line="276"/>
      </w:pPr>
      <w:r>
        <w:rPr>
          <w:b/>
          <w:bCs/>
        </w:rPr>
        <w:t xml:space="preserve">Let op: </w:t>
      </w:r>
      <w:r>
        <w:t xml:space="preserve">vliegtickets tonen altijd lokale tijd. Vertrek je om 10u00 in Brussel, dan land je na 4u30 om 15u30 Egyptische tijd.</w:t>
      </w:r>
    </w:p>
    <w:p>
      <w:pPr>
        <w:spacing w:after="120"/>
      </w:pPr>
    </w:p>
    <w:p>
      <w:pPr>
        <w:spacing w:after="40" w:before="120"/>
      </w:pPr>
      <w:r>
        <w:rPr>
          <w:b/>
          <w:bCs/>
          <w:color w:val="B9811A"/>
          <w:spacing w:val="40"/>
          <w:sz w:val="18"/>
          <w:szCs w:val="18"/>
        </w:rPr>
        <w:t xml:space="preserve">3 · SEIZOEN</w:t>
      </w:r>
    </w:p>
    <w:p>
      <w:pPr>
        <w:pStyle w:val="Heading1"/>
      </w:pPr>
      <w:r>
        <w:t xml:space="preserve">Wanneer ga je best?</w:t>
      </w:r>
    </w:p>
    <w:p>
      <w:pPr>
        <w:spacing w:after="120" w:line="288"/>
      </w:pPr>
      <w:r>
        <w:t xml:space="preserve">Egypte ligt net als België op het noordelijk halfrond, dus de seizoenen vallen samen. Maar de Egyptische winter voelt aan als een Belgische zomer, en de zomer is er heel heet en droog.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500"/>
        <w:gridCol w:w="1500"/>
        <w:gridCol w:w="1700"/>
        <w:gridCol w:w="2838"/>
      </w:tblGrid>
      <w:tr>
        <w:trPr>
          <w:tblHeader/>
        </w:trPr>
        <w:tc>
          <w:tcPr>
            <w:tcW w:type="dxa" w:w="2100"/>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pPr>
            <w:r>
              <w:rPr>
                <w:b/>
                <w:bCs/>
                <w:color w:val="FFFFFF"/>
                <w:sz w:val="17"/>
                <w:szCs w:val="17"/>
              </w:rPr>
              <w:t xml:space="preserve">Periode</w:t>
            </w:r>
          </w:p>
        </w:tc>
        <w:tc>
          <w:tcPr>
            <w:tcW w:type="dxa" w:w="1500"/>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jc w:val="right"/>
            </w:pPr>
            <w:r>
              <w:rPr>
                <w:b/>
                <w:bCs/>
                <w:color w:val="FFFFFF"/>
                <w:sz w:val="17"/>
                <w:szCs w:val="17"/>
              </w:rPr>
              <w:t xml:space="preserve">Brussel</w:t>
            </w:r>
          </w:p>
        </w:tc>
        <w:tc>
          <w:tcPr>
            <w:tcW w:type="dxa" w:w="1500"/>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jc w:val="right"/>
            </w:pPr>
            <w:r>
              <w:rPr>
                <w:b/>
                <w:bCs/>
                <w:color w:val="FFFFFF"/>
                <w:sz w:val="17"/>
                <w:szCs w:val="17"/>
              </w:rPr>
              <w:t xml:space="preserve">Caïro</w:t>
            </w:r>
          </w:p>
        </w:tc>
        <w:tc>
          <w:tcPr>
            <w:tcW w:type="dxa" w:w="1700"/>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jc w:val="right"/>
            </w:pPr>
            <w:r>
              <w:rPr>
                <w:b/>
                <w:bCs/>
                <w:color w:val="FFFFFF"/>
                <w:sz w:val="17"/>
                <w:szCs w:val="17"/>
              </w:rPr>
              <w:t xml:space="preserve">Luxor</w:t>
            </w:r>
          </w:p>
        </w:tc>
        <w:tc>
          <w:tcPr>
            <w:tcW w:type="dxa" w:w="2838"/>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pPr>
            <w:r>
              <w:rPr>
                <w:b/>
                <w:bCs/>
                <w:color w:val="FFFFFF"/>
                <w:sz w:val="17"/>
                <w:szCs w:val="17"/>
              </w:rPr>
              <w:t xml:space="preserve">Advies</w:t>
            </w:r>
          </w:p>
        </w:tc>
      </w:tr>
      <w:tr>
        <w:trPr>
          <w:cantSplit/>
        </w:trPr>
        <w:tc>
          <w:tcPr>
            <w:tcW w:type="dxa" w:w="21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dec – feb</w:t>
            </w:r>
          </w:p>
        </w:tc>
        <w:tc>
          <w:tcPr>
            <w:tcW w:type="dxa" w:w="15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6–7°</w:t>
            </w:r>
          </w:p>
        </w:tc>
        <w:tc>
          <w:tcPr>
            <w:tcW w:type="dxa" w:w="15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19–20°</w:t>
            </w:r>
          </w:p>
        </w:tc>
        <w:tc>
          <w:tcPr>
            <w:tcW w:type="dxa" w:w="17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23–25°</w:t>
            </w:r>
          </w:p>
        </w:tc>
        <w:tc>
          <w:tcPr>
            <w:tcW w:type="dxa" w:w="2838"/>
            <w:tcBorders>
              <w:top w:val="none" w:color="FFFFFF" w:sz="0"/>
              <w:left w:val="none" w:color="FFFFFF" w:sz="0"/>
              <w:bottom w:val="single" w:color="D9DDE3" w:sz="4"/>
              <w:right w:val="none" w:color="FFFFFF" w:sz="0"/>
            </w:tcBorders>
            <w:shd w:fill="DCF1EE" w:color="auto" w:val="clear"/>
            <w:tcMar>
              <w:top w:type="dxa" w:w="70"/>
              <w:left w:type="dxa" w:w="100"/>
              <w:bottom w:type="dxa" w:w="70"/>
              <w:right w:type="dxa" w:w="100"/>
            </w:tcMar>
            <w:vAlign w:val="center"/>
          </w:tcPr>
          <w:p>
            <w:pPr>
              <w:spacing w:after="0" w:line="260"/>
            </w:pPr>
            <w:r>
              <w:rPr>
                <w:b/>
                <w:bCs/>
                <w:sz w:val="19"/>
                <w:szCs w:val="19"/>
              </w:rPr>
              <w:t xml:space="preserve">ideaal voor cultuur</w:t>
            </w:r>
          </w:p>
        </w:tc>
      </w:tr>
      <w:tr>
        <w:trPr>
          <w:cantSplit/>
        </w:trPr>
        <w:tc>
          <w:tcPr>
            <w:tcW w:type="dxa" w:w="21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maart – april</w:t>
            </w:r>
          </w:p>
        </w:tc>
        <w:tc>
          <w:tcPr>
            <w:tcW w:type="dxa" w:w="15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11–15°</w:t>
            </w:r>
          </w:p>
        </w:tc>
        <w:tc>
          <w:tcPr>
            <w:tcW w:type="dxa" w:w="15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24–28°</w:t>
            </w:r>
          </w:p>
        </w:tc>
        <w:tc>
          <w:tcPr>
            <w:tcW w:type="dxa" w:w="17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29–35°</w:t>
            </w:r>
          </w:p>
        </w:tc>
        <w:tc>
          <w:tcPr>
            <w:tcW w:type="dxa" w:w="2838"/>
            <w:tcBorders>
              <w:top w:val="none" w:color="FFFFFF" w:sz="0"/>
              <w:left w:val="none" w:color="FFFFFF" w:sz="0"/>
              <w:bottom w:val="single" w:color="D9DDE3" w:sz="4"/>
              <w:right w:val="none" w:color="FFFFFF" w:sz="0"/>
            </w:tcBorders>
            <w:shd w:fill="DCF1EE" w:color="auto" w:val="clear"/>
            <w:tcMar>
              <w:top w:type="dxa" w:w="70"/>
              <w:left w:type="dxa" w:w="100"/>
              <w:bottom w:type="dxa" w:w="70"/>
              <w:right w:type="dxa" w:w="100"/>
            </w:tcMar>
            <w:vAlign w:val="center"/>
          </w:tcPr>
          <w:p>
            <w:pPr>
              <w:spacing w:after="0" w:line="260"/>
            </w:pPr>
            <w:r>
              <w:rPr>
                <w:b/>
                <w:bCs/>
                <w:sz w:val="19"/>
                <w:szCs w:val="19"/>
              </w:rPr>
              <w:t xml:space="preserve">ideaal</w:t>
            </w:r>
          </w:p>
        </w:tc>
      </w:tr>
      <w:tr>
        <w:trPr>
          <w:cantSplit/>
        </w:trPr>
        <w:tc>
          <w:tcPr>
            <w:tcW w:type="dxa" w:w="21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mei – sept</w:t>
            </w:r>
          </w:p>
        </w:tc>
        <w:tc>
          <w:tcPr>
            <w:tcW w:type="dxa" w:w="15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18–23°</w:t>
            </w:r>
          </w:p>
        </w:tc>
        <w:tc>
          <w:tcPr>
            <w:tcW w:type="dxa" w:w="15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32–35°</w:t>
            </w:r>
          </w:p>
        </w:tc>
        <w:tc>
          <w:tcPr>
            <w:tcW w:type="dxa" w:w="17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39–41°</w:t>
            </w:r>
          </w:p>
        </w:tc>
        <w:tc>
          <w:tcPr>
            <w:tcW w:type="dxa" w:w="2838"/>
            <w:tcBorders>
              <w:top w:val="none" w:color="FFFFFF" w:sz="0"/>
              <w:left w:val="none" w:color="FFFFFF" w:sz="0"/>
              <w:bottom w:val="single" w:color="D9DDE3" w:sz="4"/>
              <w:right w:val="none" w:color="FFFFFF" w:sz="0"/>
            </w:tcBorders>
            <w:shd w:fill="F8E1DA" w:color="auto" w:val="clear"/>
            <w:tcMar>
              <w:top w:type="dxa" w:w="70"/>
              <w:left w:type="dxa" w:w="100"/>
              <w:bottom w:type="dxa" w:w="70"/>
              <w:right w:type="dxa" w:w="100"/>
            </w:tcMar>
            <w:vAlign w:val="center"/>
          </w:tcPr>
          <w:p>
            <w:pPr>
              <w:spacing w:after="0" w:line="260"/>
            </w:pPr>
            <w:r>
              <w:rPr>
                <w:b/>
                <w:bCs/>
                <w:sz w:val="19"/>
                <w:szCs w:val="19"/>
              </w:rPr>
              <w:t xml:space="preserve">heet: kies de Rode Zee</w:t>
            </w:r>
          </w:p>
        </w:tc>
      </w:tr>
      <w:tr>
        <w:trPr>
          <w:cantSplit/>
        </w:trPr>
        <w:tc>
          <w:tcPr>
            <w:tcW w:type="dxa" w:w="21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pPr>
            <w:r>
              <w:rPr>
                <w:sz w:val="19"/>
                <w:szCs w:val="19"/>
              </w:rPr>
              <w:t xml:space="preserve">okt – nov</w:t>
            </w:r>
          </w:p>
        </w:tc>
        <w:tc>
          <w:tcPr>
            <w:tcW w:type="dxa" w:w="15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10–15°</w:t>
            </w:r>
          </w:p>
        </w:tc>
        <w:tc>
          <w:tcPr>
            <w:tcW w:type="dxa" w:w="15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25–30°</w:t>
            </w:r>
          </w:p>
        </w:tc>
        <w:tc>
          <w:tcPr>
            <w:tcW w:type="dxa" w:w="17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29–35°</w:t>
            </w:r>
          </w:p>
        </w:tc>
        <w:tc>
          <w:tcPr>
            <w:tcW w:type="dxa" w:w="2838"/>
            <w:tcBorders>
              <w:top w:val="none" w:color="FFFFFF" w:sz="0"/>
              <w:left w:val="none" w:color="FFFFFF" w:sz="0"/>
              <w:bottom w:val="single" w:color="D9DDE3" w:sz="4"/>
              <w:right w:val="none" w:color="FFFFFF" w:sz="0"/>
            </w:tcBorders>
            <w:shd w:fill="DCF1EE" w:color="auto" w:val="clear"/>
            <w:tcMar>
              <w:top w:type="dxa" w:w="70"/>
              <w:left w:type="dxa" w:w="100"/>
              <w:bottom w:type="dxa" w:w="70"/>
              <w:right w:type="dxa" w:w="100"/>
            </w:tcMar>
            <w:vAlign w:val="center"/>
          </w:tcPr>
          <w:p>
            <w:pPr>
              <w:spacing w:after="0" w:line="260"/>
            </w:pPr>
            <w:r>
              <w:rPr>
                <w:b/>
                <w:bCs/>
                <w:sz w:val="19"/>
                <w:szCs w:val="19"/>
              </w:rPr>
              <w:t xml:space="preserve">ideaal</w:t>
            </w:r>
          </w:p>
        </w:tc>
      </w:tr>
    </w:tbl>
    <w:p>
      <w:pPr>
        <w:spacing w:after="160" w:before="80"/>
      </w:pPr>
      <w:r>
        <w:rPr>
          <w:color w:val="59647A"/>
          <w:sz w:val="17"/>
          <w:szCs w:val="17"/>
        </w:rPr>
        <w:t xml:space="preserve">Gemiddelde maximumtemperatuur overdag. Beste reistijd: </w:t>
      </w:r>
      <w:r>
        <w:rPr>
          <w:b/>
          <w:bCs/>
          <w:sz w:val="17"/>
          <w:szCs w:val="17"/>
        </w:rPr>
        <w:t xml:space="preserve">oktober tot april</w:t>
      </w:r>
      <w:r>
        <w:rPr>
          <w:color w:val="59647A"/>
          <w:sz w:val="17"/>
          <w:szCs w:val="17"/>
        </w:rPr>
        <w:t xml:space="preserve"> (herfst-, kerst-, krokus- of paasvakantie). In de zomer is het aan de Rode Zee nog goed te doen.</w:t>
      </w:r>
    </w:p>
    <w:p>
      <w:pPr>
        <w:spacing w:after="40" w:before="120"/>
      </w:pPr>
      <w:r>
        <w:rPr>
          <w:b/>
          <w:bCs/>
          <w:color w:val="B9811A"/>
          <w:spacing w:val="40"/>
          <w:sz w:val="18"/>
          <w:szCs w:val="18"/>
        </w:rPr>
        <w:t xml:space="preserve">4 · BEZIENSWAARDIGHEDEN</w:t>
      </w:r>
    </w:p>
    <w:p>
      <w:pPr>
        <w:pStyle w:val="Heading1"/>
      </w:pPr>
      <w:r>
        <w:t xml:space="preserve">Wat kost het voor een gezin?</w:t>
      </w:r>
    </w:p>
    <w:p>
      <w:pPr>
        <w:spacing w:after="120" w:line="288"/>
      </w:pPr>
      <w:r>
        <w:t xml:space="preserve">Prijzen per persoon en totaal voor een gezin van 2 volwassenen en 2 kinderen (6–17 jaar), aan 1 € = 55 EGP.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38"/>
        <w:gridCol w:w="1400"/>
        <w:gridCol w:w="1400"/>
        <w:gridCol w:w="1800"/>
      </w:tblGrid>
      <w:tr>
        <w:trPr>
          <w:tblHeader/>
        </w:trPr>
        <w:tc>
          <w:tcPr>
            <w:tcW w:type="dxa" w:w="5038"/>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pPr>
            <w:r>
              <w:rPr>
                <w:b/>
                <w:bCs/>
                <w:color w:val="FFFFFF"/>
                <w:sz w:val="17"/>
                <w:szCs w:val="17"/>
              </w:rPr>
              <w:t xml:space="preserve">Bezienswaardigheid</w:t>
            </w:r>
          </w:p>
        </w:tc>
        <w:tc>
          <w:tcPr>
            <w:tcW w:type="dxa" w:w="1400"/>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jc w:val="right"/>
            </w:pPr>
            <w:r>
              <w:rPr>
                <w:b/>
                <w:bCs/>
                <w:color w:val="FFFFFF"/>
                <w:sz w:val="17"/>
                <w:szCs w:val="17"/>
              </w:rPr>
              <w:t xml:space="preserve">Volwassene</w:t>
            </w:r>
          </w:p>
        </w:tc>
        <w:tc>
          <w:tcPr>
            <w:tcW w:type="dxa" w:w="1400"/>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jc w:val="right"/>
            </w:pPr>
            <w:r>
              <w:rPr>
                <w:b/>
                <w:bCs/>
                <w:color w:val="FFFFFF"/>
                <w:sz w:val="17"/>
                <w:szCs w:val="17"/>
              </w:rPr>
              <w:t xml:space="preserve">Kind 6–17</w:t>
            </w:r>
          </w:p>
        </w:tc>
        <w:tc>
          <w:tcPr>
            <w:tcW w:type="dxa" w:w="1800"/>
            <w:tcBorders>
              <w:top w:val="none" w:color="FFFFFF" w:sz="0"/>
              <w:left w:val="none" w:color="FFFFFF" w:sz="0"/>
              <w:bottom w:val="single" w:color="D9DDE3" w:sz="4"/>
              <w:right w:val="none" w:color="FFFFFF" w:sz="0"/>
            </w:tcBorders>
            <w:shd w:fill="1F4FA3" w:color="auto" w:val="clear"/>
            <w:tcMar>
              <w:top w:type="dxa" w:w="70"/>
              <w:left w:type="dxa" w:w="100"/>
              <w:bottom w:type="dxa" w:w="70"/>
              <w:right w:type="dxa" w:w="100"/>
            </w:tcMar>
            <w:vAlign w:val="center"/>
          </w:tcPr>
          <w:p>
            <w:pPr>
              <w:spacing w:after="0" w:line="260"/>
              <w:jc w:val="right"/>
            </w:pPr>
            <w:r>
              <w:rPr>
                <w:b/>
                <w:bCs/>
                <w:color w:val="FFFFFF"/>
                <w:sz w:val="17"/>
                <w:szCs w:val="17"/>
              </w:rPr>
              <w:t xml:space="preserve">Gezin (2+2)</w:t>
            </w:r>
          </w:p>
        </w:tc>
      </w:tr>
      <w:tr>
        <w:trPr>
          <w:cantSplit/>
        </w:trPr>
        <w:tc>
          <w:tcPr>
            <w:tcW w:type="dxa" w:w="5038"/>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20"/>
            </w:pPr>
            <w:r>
              <w:rPr>
                <w:b/>
                <w:bCs/>
                <w:sz w:val="19"/>
                <w:szCs w:val="19"/>
              </w:rPr>
              <w:t xml:space="preserve">Piramiden van Gizeh &amp; Sfinx</w:t>
            </w:r>
            <w:r>
              <w:rPr>
                <w:b/>
                <w:bCs/>
                <w:color w:val="B9811A"/>
                <w:sz w:val="15"/>
                <w:szCs w:val="15"/>
              </w:rPr>
              <w:t xml:space="preserve">  Caïro</w:t>
            </w:r>
          </w:p>
          <w:p>
            <w:pPr>
              <w:spacing w:after="0" w:line="252"/>
            </w:pPr>
            <w:r>
              <w:rPr>
                <w:color w:val="59647A"/>
                <w:sz w:val="17"/>
                <w:szCs w:val="17"/>
              </w:rPr>
              <w:t xml:space="preserve">Het enige overgebleven wereldwonder van de oudheid.</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700 EGP</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350 EGP</w:t>
            </w:r>
          </w:p>
        </w:tc>
        <w:tc>
          <w:tcPr>
            <w:tcW w:type="dxa" w:w="18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b/>
                <w:bCs/>
                <w:color w:val="1F4FA3"/>
                <w:sz w:val="19"/>
                <w:szCs w:val="19"/>
              </w:rPr>
              <w:t xml:space="preserve">€ 38</w:t>
            </w:r>
          </w:p>
        </w:tc>
      </w:tr>
      <w:tr>
        <w:trPr>
          <w:cantSplit/>
        </w:trPr>
        <w:tc>
          <w:tcPr>
            <w:tcW w:type="dxa" w:w="5038"/>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20"/>
            </w:pPr>
            <w:r>
              <w:rPr>
                <w:b/>
                <w:bCs/>
                <w:sz w:val="19"/>
                <w:szCs w:val="19"/>
              </w:rPr>
              <w:t xml:space="preserve">Grand Egyptian Museum</w:t>
            </w:r>
            <w:r>
              <w:rPr>
                <w:b/>
                <w:bCs/>
                <w:color w:val="B9811A"/>
                <w:sz w:val="15"/>
                <w:szCs w:val="15"/>
              </w:rPr>
              <w:t xml:space="preserve">  Caïro</w:t>
            </w:r>
          </w:p>
          <w:p>
            <w:pPr>
              <w:spacing w:after="0" w:line="252"/>
            </w:pPr>
            <w:r>
              <w:rPr>
                <w:color w:val="59647A"/>
                <w:sz w:val="17"/>
                <w:szCs w:val="17"/>
              </w:rPr>
              <w:t xml:space="preserve">Grootste archeologische museum ter wereld, met de schat van Toetanchamon.</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1.700 EGP</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850 EGP</w:t>
            </w:r>
          </w:p>
        </w:tc>
        <w:tc>
          <w:tcPr>
            <w:tcW w:type="dxa" w:w="18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b/>
                <w:bCs/>
                <w:color w:val="1F4FA3"/>
                <w:sz w:val="19"/>
                <w:szCs w:val="19"/>
              </w:rPr>
              <w:t xml:space="preserve">€ 93</w:t>
            </w:r>
          </w:p>
        </w:tc>
      </w:tr>
      <w:tr>
        <w:trPr>
          <w:cantSplit/>
        </w:trPr>
        <w:tc>
          <w:tcPr>
            <w:tcW w:type="dxa" w:w="5038"/>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20"/>
            </w:pPr>
            <w:r>
              <w:rPr>
                <w:b/>
                <w:bCs/>
                <w:sz w:val="19"/>
                <w:szCs w:val="19"/>
              </w:rPr>
              <w:t xml:space="preserve">Tempelcomplex van Karnak</w:t>
            </w:r>
            <w:r>
              <w:rPr>
                <w:b/>
                <w:bCs/>
                <w:color w:val="B9811A"/>
                <w:sz w:val="15"/>
                <w:szCs w:val="15"/>
              </w:rPr>
              <w:t xml:space="preserve">  Luxor</w:t>
            </w:r>
          </w:p>
          <w:p>
            <w:pPr>
              <w:spacing w:after="0" w:line="252"/>
            </w:pPr>
            <w:r>
              <w:rPr>
                <w:color w:val="59647A"/>
                <w:sz w:val="17"/>
                <w:szCs w:val="17"/>
              </w:rPr>
              <w:t xml:space="preserve">Reusachtige tempel met een zaal van 134 zuilen.</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600 EGP</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300 EGP</w:t>
            </w:r>
          </w:p>
        </w:tc>
        <w:tc>
          <w:tcPr>
            <w:tcW w:type="dxa" w:w="18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b/>
                <w:bCs/>
                <w:color w:val="1F4FA3"/>
                <w:sz w:val="19"/>
                <w:szCs w:val="19"/>
              </w:rPr>
              <w:t xml:space="preserve">€ 33</w:t>
            </w:r>
          </w:p>
        </w:tc>
      </w:tr>
      <w:tr>
        <w:trPr>
          <w:cantSplit/>
        </w:trPr>
        <w:tc>
          <w:tcPr>
            <w:tcW w:type="dxa" w:w="5038"/>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20"/>
            </w:pPr>
            <w:r>
              <w:rPr>
                <w:b/>
                <w:bCs/>
                <w:sz w:val="19"/>
                <w:szCs w:val="19"/>
              </w:rPr>
              <w:t xml:space="preserve">Vallei der Koningen</w:t>
            </w:r>
            <w:r>
              <w:rPr>
                <w:b/>
                <w:bCs/>
                <w:color w:val="B9811A"/>
                <w:sz w:val="15"/>
                <w:szCs w:val="15"/>
              </w:rPr>
              <w:t xml:space="preserve">  Luxor</w:t>
            </w:r>
          </w:p>
          <w:p>
            <w:pPr>
              <w:spacing w:after="0" w:line="252"/>
            </w:pPr>
            <w:r>
              <w:rPr>
                <w:color w:val="59647A"/>
                <w:sz w:val="17"/>
                <w:szCs w:val="17"/>
              </w:rPr>
              <w:t xml:space="preserve">Drie beschilderde koningsgraven naar keuze.</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750 EGP</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375 EGP</w:t>
            </w:r>
          </w:p>
        </w:tc>
        <w:tc>
          <w:tcPr>
            <w:tcW w:type="dxa" w:w="18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b/>
                <w:bCs/>
                <w:color w:val="1F4FA3"/>
                <w:sz w:val="19"/>
                <w:szCs w:val="19"/>
              </w:rPr>
              <w:t xml:space="preserve">€ 41</w:t>
            </w:r>
          </w:p>
        </w:tc>
      </w:tr>
      <w:tr>
        <w:trPr>
          <w:cantSplit/>
        </w:trPr>
        <w:tc>
          <w:tcPr>
            <w:tcW w:type="dxa" w:w="5038"/>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20"/>
            </w:pPr>
            <w:r>
              <w:rPr>
                <w:b/>
                <w:bCs/>
                <w:sz w:val="19"/>
                <w:szCs w:val="19"/>
              </w:rPr>
              <w:t xml:space="preserve">Ballonvaart bij zonsopgang</w:t>
            </w:r>
            <w:r>
              <w:rPr>
                <w:b/>
                <w:bCs/>
                <w:color w:val="B9811A"/>
                <w:sz w:val="15"/>
                <w:szCs w:val="15"/>
              </w:rPr>
              <w:t xml:space="preserve">  Luxor</w:t>
            </w:r>
          </w:p>
          <w:p>
            <w:pPr>
              <w:spacing w:after="0" w:line="252"/>
            </w:pPr>
            <w:r>
              <w:rPr>
                <w:color w:val="59647A"/>
                <w:sz w:val="17"/>
                <w:szCs w:val="17"/>
              </w:rPr>
              <w:t xml:space="preserve">Zweven boven de tempels; vanaf 6 jaar.</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€ 75</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€ 60</w:t>
            </w:r>
          </w:p>
        </w:tc>
        <w:tc>
          <w:tcPr>
            <w:tcW w:type="dxa" w:w="18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b/>
                <w:bCs/>
                <w:color w:val="1F4FA3"/>
                <w:sz w:val="19"/>
                <w:szCs w:val="19"/>
              </w:rPr>
              <w:t xml:space="preserve">€ 270</w:t>
            </w:r>
          </w:p>
        </w:tc>
      </w:tr>
      <w:tr>
        <w:trPr>
          <w:cantSplit/>
        </w:trPr>
        <w:tc>
          <w:tcPr>
            <w:tcW w:type="dxa" w:w="5038"/>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20"/>
            </w:pPr>
            <w:r>
              <w:rPr>
                <w:b/>
                <w:bCs/>
                <w:sz w:val="19"/>
                <w:szCs w:val="19"/>
              </w:rPr>
              <w:t xml:space="preserve">Tempels van Abu Simbel</w:t>
            </w:r>
            <w:r>
              <w:rPr>
                <w:b/>
                <w:bCs/>
                <w:color w:val="B9811A"/>
                <w:sz w:val="15"/>
                <w:szCs w:val="15"/>
              </w:rPr>
              <w:t xml:space="preserve">  Aswan</w:t>
            </w:r>
          </w:p>
          <w:p>
            <w:pPr>
              <w:spacing w:after="0" w:line="252"/>
            </w:pPr>
            <w:r>
              <w:rPr>
                <w:color w:val="59647A"/>
                <w:sz w:val="17"/>
                <w:szCs w:val="17"/>
              </w:rPr>
              <w:t xml:space="preserve">Rotstempels van Ramses II (vervoer ± 45 € p.p. extra).</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765 EGP</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385 EGP</w:t>
            </w:r>
          </w:p>
        </w:tc>
        <w:tc>
          <w:tcPr>
            <w:tcW w:type="dxa" w:w="18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b/>
                <w:bCs/>
                <w:color w:val="1F4FA3"/>
                <w:sz w:val="19"/>
                <w:szCs w:val="19"/>
              </w:rPr>
              <w:t xml:space="preserve">€ 42</w:t>
            </w:r>
          </w:p>
        </w:tc>
      </w:tr>
      <w:tr>
        <w:trPr>
          <w:cantSplit/>
        </w:trPr>
        <w:tc>
          <w:tcPr>
            <w:tcW w:type="dxa" w:w="5038"/>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20"/>
            </w:pPr>
            <w:r>
              <w:rPr>
                <w:b/>
                <w:bCs/>
                <w:sz w:val="19"/>
                <w:szCs w:val="19"/>
              </w:rPr>
              <w:t xml:space="preserve">Snorkeltrip Rode Zee</w:t>
            </w:r>
            <w:r>
              <w:rPr>
                <w:b/>
                <w:bCs/>
                <w:color w:val="B9811A"/>
                <w:sz w:val="15"/>
                <w:szCs w:val="15"/>
              </w:rPr>
              <w:t xml:space="preserve">  Hurghada</w:t>
            </w:r>
          </w:p>
          <w:p>
            <w:pPr>
              <w:spacing w:after="0" w:line="252"/>
            </w:pPr>
            <w:r>
              <w:rPr>
                <w:color w:val="59647A"/>
                <w:sz w:val="17"/>
                <w:szCs w:val="17"/>
              </w:rPr>
              <w:t xml:space="preserve">Boottocht naar de koraalriffen, lunch inbegrepen.</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€ 35</w:t>
            </w:r>
          </w:p>
        </w:tc>
        <w:tc>
          <w:tcPr>
            <w:tcW w:type="dxa" w:w="14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sz w:val="19"/>
                <w:szCs w:val="19"/>
              </w:rPr>
              <w:t xml:space="preserve">€ 20</w:t>
            </w:r>
          </w:p>
        </w:tc>
        <w:tc>
          <w:tcPr>
            <w:tcW w:type="dxa" w:w="1800"/>
            <w:tcBorders>
              <w:top w:val="none" w:color="FFFFFF" w:sz="0"/>
              <w:left w:val="none" w:color="FFFFFF" w:sz="0"/>
              <w:bottom w:val="single" w:color="D9DDE3" w:sz="4"/>
              <w:right w:val="none" w:color="FFFFFF" w:sz="0"/>
            </w:tcBorders>
            <w:tcMar>
              <w:top w:type="dxa" w:w="70"/>
              <w:left w:type="dxa" w:w="100"/>
              <w:bottom w:type="dxa" w:w="70"/>
              <w:right w:type="dxa" w:w="100"/>
            </w:tcMar>
            <w:vAlign w:val="center"/>
          </w:tcPr>
          <w:p>
            <w:pPr>
              <w:spacing w:after="0" w:line="260"/>
              <w:jc w:val="right"/>
            </w:pPr>
            <w:r>
              <w:rPr>
                <w:b/>
                <w:bCs/>
                <w:color w:val="1F4FA3"/>
                <w:sz w:val="19"/>
                <w:szCs w:val="19"/>
              </w:rPr>
              <w:t xml:space="preserve">€ 110</w:t>
            </w:r>
          </w:p>
        </w:tc>
      </w:tr>
      <w:tr>
        <w:trPr>
          <w:cantSplit/>
        </w:trPr>
        <w:tc>
          <w:tcPr>
            <w:tcW w:type="dxa" w:w="5038"/>
            <w:tcBorders>
              <w:top w:val="none" w:color="FFFFFF" w:sz="0"/>
              <w:left w:val="none" w:color="FFFFFF" w:sz="0"/>
              <w:bottom w:val="single" w:color="D9DDE3" w:sz="4"/>
              <w:right w:val="none" w:color="FFFFFF" w:sz="0"/>
            </w:tcBorders>
            <w:shd w:fill="E3EBF8" w:color="auto" w:val="clear"/>
            <w:tcMar>
              <w:top w:type="dxa" w:w="70"/>
              <w:left w:type="dxa" w:w="100"/>
              <w:bottom w:type="dxa" w:w="70"/>
              <w:right w:type="dxa" w:w="100"/>
            </w:tcMar>
            <w:vAlign w:val="center"/>
          </w:tcPr>
          <w:p>
            <w:pPr>
              <w:spacing w:after="0" w:line="260"/>
            </w:pPr>
            <w:r>
              <w:rPr>
                <w:b/>
                <w:bCs/>
                <w:sz w:val="19"/>
                <w:szCs w:val="19"/>
              </w:rPr>
              <w:t xml:space="preserve">Totaal</w:t>
            </w:r>
          </w:p>
        </w:tc>
        <w:tc>
          <w:tcPr>
            <w:tcW w:type="dxa" w:w="1400"/>
            <w:tcBorders>
              <w:top w:val="none" w:color="FFFFFF" w:sz="0"/>
              <w:left w:val="none" w:color="FFFFFF" w:sz="0"/>
              <w:bottom w:val="single" w:color="D9DDE3" w:sz="4"/>
              <w:right w:val="none" w:color="FFFFFF" w:sz="0"/>
            </w:tcBorders>
            <w:shd w:fill="E3EBF8" w:color="auto" w:val="clear"/>
            <w:tcMar>
              <w:top w:type="dxa" w:w="70"/>
              <w:left w:type="dxa" w:w="100"/>
              <w:bottom w:type="dxa" w:w="70"/>
              <w:right w:type="dxa" w:w="100"/>
            </w:tcMar>
            <w:vAlign w:val="center"/>
          </w:tcPr>
          <w:p>
            <w:pPr>
              <w:spacing w:after="0" w:line="260"/>
              <w:jc w:val="right"/>
            </w:pPr>
            <w:r>
              <w:rPr>
                <w:sz w:val="19"/>
                <w:szCs w:val="19"/>
              </w:rPr>
              <w:t xml:space="preserve"/>
            </w:r>
          </w:p>
        </w:tc>
        <w:tc>
          <w:tcPr>
            <w:tcW w:type="dxa" w:w="1400"/>
            <w:tcBorders>
              <w:top w:val="none" w:color="FFFFFF" w:sz="0"/>
              <w:left w:val="none" w:color="FFFFFF" w:sz="0"/>
              <w:bottom w:val="single" w:color="D9DDE3" w:sz="4"/>
              <w:right w:val="none" w:color="FFFFFF" w:sz="0"/>
            </w:tcBorders>
            <w:shd w:fill="E3EBF8" w:color="auto" w:val="clear"/>
            <w:tcMar>
              <w:top w:type="dxa" w:w="70"/>
              <w:left w:type="dxa" w:w="100"/>
              <w:bottom w:type="dxa" w:w="70"/>
              <w:right w:type="dxa" w:w="100"/>
            </w:tcMar>
            <w:vAlign w:val="center"/>
          </w:tcPr>
          <w:p>
            <w:pPr>
              <w:spacing w:after="0" w:line="260"/>
              <w:jc w:val="right"/>
            </w:pPr>
            <w:r>
              <w:rPr>
                <w:sz w:val="19"/>
                <w:szCs w:val="19"/>
              </w:rPr>
              <w:t xml:space="preserve"/>
            </w:r>
          </w:p>
        </w:tc>
        <w:tc>
          <w:tcPr>
            <w:tcW w:type="dxa" w:w="1800"/>
            <w:tcBorders>
              <w:top w:val="none" w:color="FFFFFF" w:sz="0"/>
              <w:left w:val="none" w:color="FFFFFF" w:sz="0"/>
              <w:bottom w:val="single" w:color="D9DDE3" w:sz="4"/>
              <w:right w:val="none" w:color="FFFFFF" w:sz="0"/>
            </w:tcBorders>
            <w:shd w:fill="E3EBF8" w:color="auto" w:val="clear"/>
            <w:tcMar>
              <w:top w:type="dxa" w:w="70"/>
              <w:left w:type="dxa" w:w="100"/>
              <w:bottom w:type="dxa" w:w="70"/>
              <w:right w:type="dxa" w:w="100"/>
            </w:tcMar>
            <w:vAlign w:val="center"/>
          </w:tcPr>
          <w:p>
            <w:pPr>
              <w:spacing w:after="0" w:line="260"/>
              <w:jc w:val="right"/>
            </w:pPr>
            <w:r>
              <w:rPr>
                <w:b/>
                <w:bCs/>
                <w:color w:val="1F4FA3"/>
                <w:sz w:val="19"/>
                <w:szCs w:val="19"/>
              </w:rPr>
              <w:t xml:space="preserve">€ 626</w:t>
            </w:r>
          </w:p>
        </w:tc>
      </w:tr>
    </w:tbl>
    <w:p>
      <w:pPr>
        <w:spacing w:after="160" w:before="80"/>
      </w:pPr>
      <w:r>
        <w:rPr>
          <w:i/>
          <w:iCs/>
          <w:color w:val="59647A"/>
          <w:sz w:val="17"/>
          <w:szCs w:val="17"/>
        </w:rPr>
        <w:t xml:space="preserve">Richtprijzen 2026. Kinderen onder 6 jaar zijn gratis in musea en monumenten. Vervoer, gids en fooien niet inbegrepen. Actuele prijzen: egymonuments.gov.eg.</w:t>
      </w:r>
    </w:p>
    <w:p>
      <w:pPr>
        <w:pStyle w:val="Heading2"/>
      </w:pPr>
      <w:r>
        <w:t xml:space="preserve">Praktisch</w:t>
      </w:r>
    </w:p>
    <w:p>
      <w:pPr>
        <w:pStyle w:val="ListParagraph"/>
        <w:numPr>
          <w:ilvl w:val="0"/>
          <w:numId w:val="2"/>
        </w:numPr>
        <w:spacing w:after="80" w:line="276"/>
      </w:pPr>
      <w:r>
        <w:rPr>
          <w:b/>
          <w:bCs/>
        </w:rPr>
        <w:t xml:space="preserve">Visum nodig </w:t>
      </w:r>
      <w:r>
        <w:t xml:space="preserve">(e-visum of bij aankomst, ± 25 USD); paspoort 6 maanden geldig.</w:t>
      </w:r>
    </w:p>
    <w:p>
      <w:pPr>
        <w:pStyle w:val="ListParagraph"/>
        <w:numPr>
          <w:ilvl w:val="0"/>
          <w:numId w:val="2"/>
        </w:numPr>
        <w:spacing w:after="80" w:line="276"/>
      </w:pPr>
      <w:r>
        <w:rPr>
          <w:b/>
          <w:bCs/>
        </w:rPr>
        <w:t xml:space="preserve">Stekkers </w:t>
      </w:r>
      <w:r>
        <w:t xml:space="preserve">zijn dezelfde als in België. </w:t>
      </w:r>
      <w:r>
        <w:rPr>
          <w:b/>
          <w:bCs/>
        </w:rPr>
        <w:t xml:space="preserve">Drink geen kraantjeswater.</w:t>
      </w:r>
    </w:p>
    <w:p>
      <w:pPr>
        <w:pStyle w:val="ListParagraph"/>
        <w:numPr>
          <w:ilvl w:val="0"/>
          <w:numId w:val="2"/>
        </w:numPr>
        <w:spacing w:after="80" w:line="276"/>
      </w:pPr>
      <w:r>
        <w:rPr>
          <w:b/>
          <w:bCs/>
        </w:rPr>
        <w:t xml:space="preserve">Noodnummers: </w:t>
      </w:r>
      <w:r>
        <w:t xml:space="preserve">toeristische politie 126, ambulance 123.</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47A"/>
        <w:sz w:val="16"/>
        <w:szCs w:val="16"/>
      </w:rPr>
      <w:t xml:space="preserve">Reisbrochure Egypte · pagina </w:t>
    </w:r>
    <w:r>
      <w:rPr>
        <w:color w:val="5964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3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outlineLvl w:val="0"/>
    </w:pPr>
    <w:rPr>
      <w:rFonts w:ascii="Georgia" w:cs="Georgia" w:eastAsia="Georgia" w:hAnsi="Georgia"/>
      <w:color w:val="1F4FA3"/>
      <w:sz w:val="36"/>
      <w:szCs w:val="36"/>
    </w:rPr>
  </w:style>
  <w:style w:type="paragraph" w:styleId="Heading2">
    <w:name w:val="Heading 2"/>
    <w:basedOn w:val="Normal"/>
    <w:next w:val="Normal"/>
    <w:qFormat/>
    <w:pPr>
      <w:keepNext/>
      <w:spacing w:after="60" w:before="160"/>
      <w:outlineLvl w:val="1"/>
    </w:pPr>
    <w:rPr>
      <w:rFonts w:ascii="Georgia" w:cs="Georgia" w:eastAsia="Georgia" w:hAnsi="Georgia"/>
      <w:color w:val="0F8A8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9cfd9acd9412249b902455877c7fd03535bea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Reisbrochure Egypte</dc:title>
  <dc:creator>Reisbrochure</dc:creator>
  <cp:lastModifiedBy>Un-named</cp:lastModifiedBy>
  <cp:revision>1</cp:revision>
  <dcterms:created xsi:type="dcterms:W3CDTF">2026-10-18T18:01:31.088Z</dcterms:created>
  <dcterms:modified xsi:type="dcterms:W3CDTF">2026-10-18T18:01:31.089Z</dcterms:modified>
</cp:coreProperties>
</file>

<file path=docProps/custom.xml><?xml version="1.0" encoding="utf-8"?>
<Properties xmlns="http://schemas.openxmlformats.org/officeDocument/2006/custom-properties" xmlns:vt="http://schemas.openxmlformats.org/officeDocument/2006/docPropsVTypes"/>
</file>