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3B079" w14:textId="0BB67F92" w:rsidR="00F75766" w:rsidRDefault="002C4A1E" w:rsidP="002C4A1E">
      <w:pPr>
        <w:jc w:val="center"/>
        <w:rPr>
          <w:b/>
          <w:bCs/>
          <w:sz w:val="36"/>
          <w:szCs w:val="36"/>
          <w:lang w:val="en-US"/>
        </w:rPr>
      </w:pPr>
      <w:r w:rsidRPr="002C4A1E">
        <w:rPr>
          <w:b/>
          <w:bCs/>
          <w:sz w:val="36"/>
          <w:szCs w:val="36"/>
          <w:lang w:val="en-US"/>
        </w:rPr>
        <w:t>MACHINE LEARNING PS-3</w:t>
      </w:r>
    </w:p>
    <w:p w14:paraId="7AD77114" w14:textId="77777777" w:rsidR="002C4A1E" w:rsidRDefault="002C4A1E" w:rsidP="002C4A1E">
      <w:pPr>
        <w:rPr>
          <w:sz w:val="24"/>
          <w:szCs w:val="24"/>
          <w:lang w:val="en-US"/>
        </w:rPr>
      </w:pPr>
    </w:p>
    <w:p w14:paraId="7371FE43" w14:textId="05562D67" w:rsidR="002C4A1E" w:rsidRDefault="002C4A1E" w:rsidP="002C4A1E">
      <w:pPr>
        <w:rPr>
          <w:sz w:val="24"/>
          <w:szCs w:val="24"/>
          <w:lang w:val="en-US"/>
        </w:rPr>
      </w:pPr>
      <w:r>
        <w:rPr>
          <w:sz w:val="24"/>
          <w:szCs w:val="24"/>
          <w:lang w:val="en-US"/>
        </w:rPr>
        <w:t xml:space="preserve">2. ANALYSIS </w:t>
      </w:r>
    </w:p>
    <w:p w14:paraId="2589BB25" w14:textId="447720F5" w:rsidR="00175DF6" w:rsidRPr="00175DF6" w:rsidRDefault="002C4A1E" w:rsidP="00175DF6">
      <w:pPr>
        <w:rPr>
          <w:sz w:val="24"/>
          <w:szCs w:val="24"/>
          <w:lang w:val="en-US"/>
        </w:rPr>
      </w:pPr>
      <w:r>
        <w:rPr>
          <w:sz w:val="24"/>
          <w:szCs w:val="24"/>
          <w:lang w:val="en-US"/>
        </w:rPr>
        <w:t xml:space="preserve">(e) </w:t>
      </w:r>
      <w:r w:rsidR="00175DF6">
        <w:rPr>
          <w:sz w:val="24"/>
          <w:szCs w:val="24"/>
          <w:lang w:val="en-US"/>
        </w:rPr>
        <w:t>Coefficients Table</w:t>
      </w:r>
    </w:p>
    <w:p w14:paraId="2FDD5255" w14:textId="7C8555CC" w:rsidR="00175DF6" w:rsidRPr="00175DF6" w:rsidRDefault="00175DF6" w:rsidP="00175DF6">
      <w:pPr>
        <w:rPr>
          <w:sz w:val="24"/>
          <w:szCs w:val="24"/>
          <w:lang w:val="en-US"/>
        </w:rPr>
      </w:pPr>
      <w:r w:rsidRPr="00175DF6">
        <w:rPr>
          <w:sz w:val="24"/>
          <w:szCs w:val="24"/>
          <w:lang w:val="en-US"/>
        </w:rPr>
        <w:t xml:space="preserve">                 </w:t>
      </w:r>
      <w:r>
        <w:rPr>
          <w:sz w:val="24"/>
          <w:szCs w:val="24"/>
          <w:lang w:val="en-US"/>
        </w:rPr>
        <w:t xml:space="preserve"> </w:t>
      </w:r>
      <w:r w:rsidRPr="00175DF6">
        <w:rPr>
          <w:sz w:val="24"/>
          <w:szCs w:val="24"/>
          <w:lang w:val="en-US"/>
        </w:rPr>
        <w:t xml:space="preserve">Model </w:t>
      </w:r>
      <w:r>
        <w:rPr>
          <w:sz w:val="24"/>
          <w:szCs w:val="24"/>
          <w:lang w:val="en-US"/>
        </w:rPr>
        <w:t xml:space="preserve">                                          </w:t>
      </w:r>
      <w:r w:rsidRPr="00175DF6">
        <w:rPr>
          <w:sz w:val="24"/>
          <w:szCs w:val="24"/>
          <w:lang w:val="en-US"/>
        </w:rPr>
        <w:t>Intercept</w:t>
      </w:r>
      <w:r>
        <w:rPr>
          <w:sz w:val="24"/>
          <w:szCs w:val="24"/>
          <w:lang w:val="en-US"/>
        </w:rPr>
        <w:t xml:space="preserve">             </w:t>
      </w:r>
      <w:r w:rsidRPr="00175DF6">
        <w:rPr>
          <w:sz w:val="24"/>
          <w:szCs w:val="24"/>
          <w:lang w:val="en-US"/>
        </w:rPr>
        <w:t>Review_Scores_Rating</w:t>
      </w:r>
    </w:p>
    <w:p w14:paraId="58AC6330" w14:textId="22396C1F" w:rsidR="00175DF6" w:rsidRPr="00175DF6" w:rsidRDefault="00175DF6" w:rsidP="00175DF6">
      <w:pPr>
        <w:rPr>
          <w:sz w:val="24"/>
          <w:szCs w:val="24"/>
          <w:lang w:val="en-US"/>
        </w:rPr>
      </w:pPr>
      <w:r w:rsidRPr="00175DF6">
        <w:rPr>
          <w:sz w:val="24"/>
          <w:szCs w:val="24"/>
          <w:lang w:val="en-US"/>
        </w:rPr>
        <w:t xml:space="preserve">1 </w:t>
      </w:r>
      <w:r>
        <w:rPr>
          <w:sz w:val="24"/>
          <w:szCs w:val="24"/>
          <w:lang w:val="en-US"/>
        </w:rPr>
        <w:t xml:space="preserve">             </w:t>
      </w:r>
      <w:r w:rsidRPr="00175DF6">
        <w:rPr>
          <w:sz w:val="24"/>
          <w:szCs w:val="24"/>
          <w:lang w:val="en-US"/>
        </w:rPr>
        <w:t xml:space="preserve">Linear Probability Model  </w:t>
      </w:r>
      <w:r>
        <w:rPr>
          <w:sz w:val="24"/>
          <w:szCs w:val="24"/>
          <w:lang w:val="en-US"/>
        </w:rPr>
        <w:t xml:space="preserve">       </w:t>
      </w:r>
      <w:r w:rsidRPr="00175DF6">
        <w:rPr>
          <w:sz w:val="24"/>
          <w:szCs w:val="24"/>
          <w:lang w:val="en-US"/>
        </w:rPr>
        <w:t>-</w:t>
      </w:r>
      <w:r>
        <w:rPr>
          <w:sz w:val="24"/>
          <w:szCs w:val="24"/>
          <w:lang w:val="en-US"/>
        </w:rPr>
        <w:t xml:space="preserve"> </w:t>
      </w:r>
      <w:r w:rsidRPr="00175DF6">
        <w:rPr>
          <w:sz w:val="24"/>
          <w:szCs w:val="24"/>
          <w:lang w:val="en-US"/>
        </w:rPr>
        <w:t>1.217396            0.3215106</w:t>
      </w:r>
    </w:p>
    <w:p w14:paraId="6866203F" w14:textId="1BF9A972" w:rsidR="00175DF6" w:rsidRPr="00175DF6" w:rsidRDefault="00175DF6" w:rsidP="00175DF6">
      <w:pPr>
        <w:rPr>
          <w:sz w:val="24"/>
          <w:szCs w:val="24"/>
          <w:lang w:val="en-US"/>
        </w:rPr>
      </w:pPr>
      <w:r w:rsidRPr="00175DF6">
        <w:rPr>
          <w:sz w:val="24"/>
          <w:szCs w:val="24"/>
          <w:lang w:val="en-US"/>
        </w:rPr>
        <w:t xml:space="preserve">2              Logit Model </w:t>
      </w:r>
      <w:r>
        <w:rPr>
          <w:sz w:val="24"/>
          <w:szCs w:val="24"/>
          <w:lang w:val="en-US"/>
        </w:rPr>
        <w:t xml:space="preserve">                               </w:t>
      </w:r>
      <w:r w:rsidRPr="00175DF6">
        <w:rPr>
          <w:sz w:val="24"/>
          <w:szCs w:val="24"/>
          <w:lang w:val="en-US"/>
        </w:rPr>
        <w:t>-26.008035            5.2137464</w:t>
      </w:r>
    </w:p>
    <w:p w14:paraId="2A3472C1" w14:textId="2C07AAE6" w:rsidR="00175DF6" w:rsidRDefault="00175DF6" w:rsidP="00175DF6">
      <w:pPr>
        <w:rPr>
          <w:sz w:val="24"/>
          <w:szCs w:val="24"/>
          <w:lang w:val="en-US"/>
        </w:rPr>
      </w:pPr>
      <w:r w:rsidRPr="00175DF6">
        <w:rPr>
          <w:sz w:val="24"/>
          <w:szCs w:val="24"/>
          <w:lang w:val="en-US"/>
        </w:rPr>
        <w:t xml:space="preserve">3             </w:t>
      </w:r>
      <w:r>
        <w:rPr>
          <w:sz w:val="24"/>
          <w:szCs w:val="24"/>
          <w:lang w:val="en-US"/>
        </w:rPr>
        <w:t xml:space="preserve">  </w:t>
      </w:r>
      <w:r w:rsidRPr="00175DF6">
        <w:rPr>
          <w:sz w:val="24"/>
          <w:szCs w:val="24"/>
          <w:lang w:val="en-US"/>
        </w:rPr>
        <w:t xml:space="preserve">Probit Model </w:t>
      </w:r>
      <w:r>
        <w:rPr>
          <w:sz w:val="24"/>
          <w:szCs w:val="24"/>
          <w:lang w:val="en-US"/>
        </w:rPr>
        <w:t xml:space="preserve">                            </w:t>
      </w:r>
      <w:r w:rsidRPr="00175DF6">
        <w:rPr>
          <w:sz w:val="24"/>
          <w:szCs w:val="24"/>
          <w:lang w:val="en-US"/>
        </w:rPr>
        <w:t>-16.286638            3.2655207</w:t>
      </w:r>
    </w:p>
    <w:p w14:paraId="32BF55BE" w14:textId="7DB1D48F" w:rsidR="002C4A1E" w:rsidRDefault="002C4A1E" w:rsidP="002C4A1E">
      <w:pPr>
        <w:rPr>
          <w:sz w:val="24"/>
          <w:szCs w:val="24"/>
          <w:lang w:val="en-US"/>
        </w:rPr>
      </w:pPr>
      <w:r>
        <w:rPr>
          <w:sz w:val="24"/>
          <w:szCs w:val="24"/>
          <w:lang w:val="en-US"/>
        </w:rPr>
        <w:t>Below is the interpretation of the coefficients from the three models:</w:t>
      </w:r>
    </w:p>
    <w:p w14:paraId="07385FD4" w14:textId="77777777" w:rsidR="00175DF6" w:rsidRPr="00175DF6" w:rsidRDefault="00175DF6" w:rsidP="00175DF6">
      <w:pPr>
        <w:rPr>
          <w:b/>
          <w:bCs/>
          <w:i/>
          <w:iCs/>
          <w:sz w:val="24"/>
          <w:szCs w:val="24"/>
        </w:rPr>
      </w:pPr>
      <w:r w:rsidRPr="00175DF6">
        <w:rPr>
          <w:b/>
          <w:bCs/>
          <w:i/>
          <w:iCs/>
          <w:sz w:val="24"/>
          <w:szCs w:val="24"/>
        </w:rPr>
        <w:t>Linear Probability Model:</w:t>
      </w:r>
    </w:p>
    <w:p w14:paraId="18C0F87F" w14:textId="77777777" w:rsidR="00175DF6" w:rsidRPr="00175DF6" w:rsidRDefault="00175DF6" w:rsidP="00175DF6">
      <w:pPr>
        <w:numPr>
          <w:ilvl w:val="0"/>
          <w:numId w:val="4"/>
        </w:numPr>
        <w:rPr>
          <w:sz w:val="24"/>
          <w:szCs w:val="24"/>
        </w:rPr>
      </w:pPr>
      <w:r w:rsidRPr="00175DF6">
        <w:rPr>
          <w:sz w:val="24"/>
          <w:szCs w:val="24"/>
        </w:rPr>
        <w:t>Intercept: -1.217396: This indicates that when the review score is 0, the predicted probability of being a superhost is approximately -121.74%. Since probabilities cannot be negative, this result highlights a limitation of the Linear Probability Model (LPM).</w:t>
      </w:r>
    </w:p>
    <w:p w14:paraId="3E09E79E" w14:textId="77777777" w:rsidR="00175DF6" w:rsidRPr="00175DF6" w:rsidRDefault="00175DF6" w:rsidP="00175DF6">
      <w:pPr>
        <w:numPr>
          <w:ilvl w:val="0"/>
          <w:numId w:val="4"/>
        </w:numPr>
        <w:rPr>
          <w:sz w:val="24"/>
          <w:szCs w:val="24"/>
        </w:rPr>
      </w:pPr>
      <w:r w:rsidRPr="00175DF6">
        <w:rPr>
          <w:sz w:val="24"/>
          <w:szCs w:val="24"/>
        </w:rPr>
        <w:t>Review Scores Rating: 0.3215106: For each one-point increase in the review score, the probability of being a superhost increases by about 32.15%. This means that higher review scores positively influence the likelihood of being classified as a superhost.</w:t>
      </w:r>
    </w:p>
    <w:p w14:paraId="1D077D2E" w14:textId="77777777" w:rsidR="00175DF6" w:rsidRPr="00175DF6" w:rsidRDefault="00175DF6" w:rsidP="00175DF6">
      <w:pPr>
        <w:rPr>
          <w:b/>
          <w:bCs/>
          <w:i/>
          <w:iCs/>
          <w:sz w:val="24"/>
          <w:szCs w:val="24"/>
        </w:rPr>
      </w:pPr>
      <w:r w:rsidRPr="00175DF6">
        <w:rPr>
          <w:b/>
          <w:bCs/>
          <w:i/>
          <w:iCs/>
          <w:sz w:val="24"/>
          <w:szCs w:val="24"/>
        </w:rPr>
        <w:t>Logit Model:</w:t>
      </w:r>
    </w:p>
    <w:p w14:paraId="435A0CF3" w14:textId="77777777" w:rsidR="00175DF6" w:rsidRPr="00175DF6" w:rsidRDefault="00175DF6" w:rsidP="00175DF6">
      <w:pPr>
        <w:numPr>
          <w:ilvl w:val="0"/>
          <w:numId w:val="5"/>
        </w:numPr>
        <w:rPr>
          <w:sz w:val="24"/>
          <w:szCs w:val="24"/>
        </w:rPr>
      </w:pPr>
      <w:r w:rsidRPr="00175DF6">
        <w:rPr>
          <w:sz w:val="24"/>
          <w:szCs w:val="24"/>
        </w:rPr>
        <w:t>Intercept: -26.008035: This represents the log-odds of being a superhost when the review score is 0. Like the LPM, this value does not have a straightforward interpretation in terms of probability but serves as a baseline for calculating odds.</w:t>
      </w:r>
    </w:p>
    <w:p w14:paraId="3A74BA45" w14:textId="77777777" w:rsidR="00175DF6" w:rsidRPr="00175DF6" w:rsidRDefault="00175DF6" w:rsidP="00B56610">
      <w:pPr>
        <w:numPr>
          <w:ilvl w:val="0"/>
          <w:numId w:val="5"/>
        </w:numPr>
        <w:rPr>
          <w:b/>
          <w:bCs/>
          <w:i/>
          <w:iCs/>
          <w:sz w:val="24"/>
          <w:szCs w:val="24"/>
        </w:rPr>
      </w:pPr>
      <w:r w:rsidRPr="00175DF6">
        <w:rPr>
          <w:sz w:val="24"/>
          <w:szCs w:val="24"/>
        </w:rPr>
        <w:t>Review Scores Rating: 5.2137464: For each one-point increase in the review score, the log-odds of being a superhost increase by 5.21. This means that for each one-point increase in the review score, the odds of being a superhost increase by about 182.48 times, highlighting a strong positive relationship between review scores and the likelihood of becoming a superhost.</w:t>
      </w:r>
    </w:p>
    <w:p w14:paraId="1E5EDC66" w14:textId="702444EA" w:rsidR="00175DF6" w:rsidRPr="00175DF6" w:rsidRDefault="00175DF6" w:rsidP="00175DF6">
      <w:pPr>
        <w:rPr>
          <w:b/>
          <w:bCs/>
          <w:i/>
          <w:iCs/>
          <w:sz w:val="24"/>
          <w:szCs w:val="24"/>
        </w:rPr>
      </w:pPr>
      <w:r w:rsidRPr="00175DF6">
        <w:rPr>
          <w:b/>
          <w:bCs/>
          <w:i/>
          <w:iCs/>
          <w:sz w:val="24"/>
          <w:szCs w:val="24"/>
        </w:rPr>
        <w:t>Probit Model:</w:t>
      </w:r>
    </w:p>
    <w:p w14:paraId="3839F186" w14:textId="77777777" w:rsidR="00175DF6" w:rsidRPr="00175DF6" w:rsidRDefault="00175DF6" w:rsidP="00175DF6">
      <w:pPr>
        <w:numPr>
          <w:ilvl w:val="0"/>
          <w:numId w:val="6"/>
        </w:numPr>
        <w:rPr>
          <w:sz w:val="24"/>
          <w:szCs w:val="24"/>
        </w:rPr>
      </w:pPr>
      <w:r w:rsidRPr="00175DF6">
        <w:rPr>
          <w:sz w:val="24"/>
          <w:szCs w:val="24"/>
        </w:rPr>
        <w:t>Intercept: -16.286638: Similar to the logit model, this value represents the starting point when the review score is 0, but it is not directly interpretable as a probability.</w:t>
      </w:r>
    </w:p>
    <w:p w14:paraId="21F36B90" w14:textId="77777777" w:rsidR="00175DF6" w:rsidRPr="00175DF6" w:rsidRDefault="00175DF6" w:rsidP="00175DF6">
      <w:pPr>
        <w:numPr>
          <w:ilvl w:val="0"/>
          <w:numId w:val="6"/>
        </w:numPr>
        <w:rPr>
          <w:sz w:val="24"/>
          <w:szCs w:val="24"/>
        </w:rPr>
      </w:pPr>
      <w:r w:rsidRPr="00175DF6">
        <w:rPr>
          <w:sz w:val="24"/>
          <w:szCs w:val="24"/>
        </w:rPr>
        <w:t>Review Scores Rating: 3.2655207: A one-point increase in the review score raises the probability of being a superhost, following a standard normal distribution. While the exact probability increase is not as straightforward as in the LPM, it suggests that higher review scores significantly improve the likelihood of being classified as a superhost.</w:t>
      </w:r>
    </w:p>
    <w:p w14:paraId="3DCACB33" w14:textId="77777777" w:rsidR="002C4A1E" w:rsidRPr="002C4A1E" w:rsidRDefault="002C4A1E" w:rsidP="002C4A1E">
      <w:pPr>
        <w:rPr>
          <w:b/>
          <w:bCs/>
          <w:i/>
          <w:iCs/>
          <w:sz w:val="24"/>
          <w:szCs w:val="24"/>
        </w:rPr>
      </w:pPr>
      <w:r w:rsidRPr="002C4A1E">
        <w:rPr>
          <w:b/>
          <w:bCs/>
          <w:i/>
          <w:iCs/>
          <w:sz w:val="24"/>
          <w:szCs w:val="24"/>
        </w:rPr>
        <w:lastRenderedPageBreak/>
        <w:t>Causal Interpretation:</w:t>
      </w:r>
    </w:p>
    <w:p w14:paraId="0344BE27" w14:textId="44752754" w:rsidR="002C4A1E" w:rsidRDefault="00175DF6" w:rsidP="002C4A1E">
      <w:pPr>
        <w:rPr>
          <w:sz w:val="24"/>
          <w:szCs w:val="24"/>
        </w:rPr>
      </w:pPr>
      <w:r w:rsidRPr="00175DF6">
        <w:rPr>
          <w:sz w:val="24"/>
          <w:szCs w:val="24"/>
        </w:rPr>
        <w:t>The analysis suggests a causal relationship between review scores and the probability of being classified as a superhost, as indicated by the consistent positive coefficients across the Linear Probability Model, Logit Model, and Probit Model. Specifically, each one-point increase in review scores is associated with a significant increase in the likelihood of achieving superhost status, with the Linear Probability Model estimating a 32.15% increase in probability. However, to confidently assert causality, it is crucial to establish that review scores precede superhost classification and to control for potential confounding variables that could bias the results. Overall, the findings support the inference that higher review scores lead to an increased likelihood of becoming a superhost, assuming the underlying assumptions for causal inference are satisfied.</w:t>
      </w:r>
    </w:p>
    <w:p w14:paraId="6C51E9E3" w14:textId="77777777" w:rsidR="00C521D0" w:rsidRDefault="00C521D0" w:rsidP="002C4A1E">
      <w:pPr>
        <w:rPr>
          <w:sz w:val="24"/>
          <w:szCs w:val="24"/>
          <w:lang w:val="en-US"/>
        </w:rPr>
      </w:pPr>
    </w:p>
    <w:p w14:paraId="0F75D191" w14:textId="114352AA" w:rsidR="005C713F" w:rsidRDefault="005C713F" w:rsidP="002C4A1E">
      <w:pPr>
        <w:rPr>
          <w:sz w:val="24"/>
          <w:szCs w:val="24"/>
        </w:rPr>
      </w:pPr>
      <w:r>
        <w:rPr>
          <w:sz w:val="24"/>
          <w:szCs w:val="24"/>
          <w:lang w:val="en-US"/>
        </w:rPr>
        <w:t xml:space="preserve">(f) </w:t>
      </w:r>
      <w:r w:rsidRPr="005C713F">
        <w:rPr>
          <w:sz w:val="24"/>
          <w:szCs w:val="24"/>
        </w:rPr>
        <w:t>Based on the cross-validation results, the error rate is the same (0.2695) across all tested cost parameters {10^-2, 10^-1, 10^0, 10^1, 10^2}. Since there is no significant difference in the error, the optimal cost parameter can be chosen based on other considerations, such as simplicity or efficiency. In this case, the smallest cost value, 0.01 (or 1e-02), would be a reasonable choice, as it provides a more regularized model without increasing the error.</w:t>
      </w:r>
    </w:p>
    <w:p w14:paraId="4A96E104" w14:textId="77777777" w:rsidR="005C713F" w:rsidRDefault="005C713F" w:rsidP="002C4A1E">
      <w:pPr>
        <w:rPr>
          <w:sz w:val="24"/>
          <w:szCs w:val="24"/>
        </w:rPr>
      </w:pPr>
    </w:p>
    <w:p w14:paraId="51C7C940" w14:textId="0A99182A" w:rsidR="006558B4" w:rsidRPr="006558B4" w:rsidRDefault="005C713F" w:rsidP="006558B4">
      <w:pPr>
        <w:rPr>
          <w:sz w:val="24"/>
          <w:szCs w:val="24"/>
        </w:rPr>
      </w:pPr>
      <w:r>
        <w:rPr>
          <w:sz w:val="24"/>
          <w:szCs w:val="24"/>
        </w:rPr>
        <w:t>(g)</w:t>
      </w:r>
      <w:r w:rsidR="006558B4">
        <w:rPr>
          <w:sz w:val="24"/>
          <w:szCs w:val="24"/>
        </w:rPr>
        <w:t xml:space="preserve"> </w:t>
      </w:r>
    </w:p>
    <w:p w14:paraId="1B21D065" w14:textId="38219A8F" w:rsidR="006558B4" w:rsidRPr="006558B4" w:rsidRDefault="006558B4" w:rsidP="006558B4">
      <w:pPr>
        <w:rPr>
          <w:sz w:val="24"/>
          <w:szCs w:val="24"/>
        </w:rPr>
      </w:pPr>
      <w:r w:rsidRPr="006558B4">
        <w:rPr>
          <w:sz w:val="24"/>
          <w:szCs w:val="24"/>
        </w:rPr>
        <w:t xml:space="preserve"> (svm_model</w:t>
      </w:r>
      <w:r>
        <w:rPr>
          <w:sz w:val="24"/>
          <w:szCs w:val="24"/>
        </w:rPr>
        <w:t xml:space="preserve">_ </w:t>
      </w:r>
      <w:r w:rsidRPr="006558B4">
        <w:rPr>
          <w:sz w:val="24"/>
          <w:szCs w:val="24"/>
        </w:rPr>
        <w:t>performances)</w:t>
      </w:r>
    </w:p>
    <w:p w14:paraId="7B447274" w14:textId="3D428B5D" w:rsidR="006558B4" w:rsidRPr="006558B4" w:rsidRDefault="006558B4" w:rsidP="006558B4">
      <w:pPr>
        <w:rPr>
          <w:sz w:val="24"/>
          <w:szCs w:val="24"/>
        </w:rPr>
      </w:pPr>
      <w:r w:rsidRPr="006558B4">
        <w:rPr>
          <w:sz w:val="24"/>
          <w:szCs w:val="24"/>
        </w:rPr>
        <w:t xml:space="preserve">  gamma cost     error  </w:t>
      </w:r>
      <w:r>
        <w:rPr>
          <w:sz w:val="24"/>
          <w:szCs w:val="24"/>
        </w:rPr>
        <w:t xml:space="preserve">            </w:t>
      </w:r>
      <w:r w:rsidRPr="006558B4">
        <w:rPr>
          <w:sz w:val="24"/>
          <w:szCs w:val="24"/>
        </w:rPr>
        <w:t>dispersion</w:t>
      </w:r>
    </w:p>
    <w:p w14:paraId="0BE7BC16" w14:textId="45ED577F" w:rsidR="006558B4" w:rsidRPr="006558B4" w:rsidRDefault="006558B4" w:rsidP="006558B4">
      <w:pPr>
        <w:rPr>
          <w:sz w:val="24"/>
          <w:szCs w:val="24"/>
        </w:rPr>
      </w:pPr>
      <w:r w:rsidRPr="006558B4">
        <w:rPr>
          <w:sz w:val="24"/>
          <w:szCs w:val="24"/>
        </w:rPr>
        <w:t>1   0.1 1e-02</w:t>
      </w:r>
      <w:r>
        <w:rPr>
          <w:sz w:val="24"/>
          <w:szCs w:val="24"/>
        </w:rPr>
        <w:t xml:space="preserve">       </w:t>
      </w:r>
      <w:r w:rsidRPr="006558B4">
        <w:rPr>
          <w:sz w:val="24"/>
          <w:szCs w:val="24"/>
        </w:rPr>
        <w:t>0.2700963</w:t>
      </w:r>
      <w:r>
        <w:rPr>
          <w:sz w:val="24"/>
          <w:szCs w:val="24"/>
        </w:rPr>
        <w:t xml:space="preserve">    </w:t>
      </w:r>
      <w:r w:rsidRPr="006558B4">
        <w:rPr>
          <w:sz w:val="24"/>
          <w:szCs w:val="24"/>
        </w:rPr>
        <w:t>0.006524819</w:t>
      </w:r>
    </w:p>
    <w:p w14:paraId="542759DA" w14:textId="1FD11CFC" w:rsidR="006558B4" w:rsidRPr="006558B4" w:rsidRDefault="006558B4" w:rsidP="006558B4">
      <w:pPr>
        <w:rPr>
          <w:sz w:val="24"/>
          <w:szCs w:val="24"/>
        </w:rPr>
      </w:pPr>
      <w:r w:rsidRPr="006558B4">
        <w:rPr>
          <w:sz w:val="24"/>
          <w:szCs w:val="24"/>
        </w:rPr>
        <w:t xml:space="preserve">2   0.1 1e-01 </w:t>
      </w:r>
      <w:r>
        <w:rPr>
          <w:sz w:val="24"/>
          <w:szCs w:val="24"/>
        </w:rPr>
        <w:t xml:space="preserve">      </w:t>
      </w:r>
      <w:r w:rsidRPr="006558B4">
        <w:rPr>
          <w:sz w:val="24"/>
          <w:szCs w:val="24"/>
        </w:rPr>
        <w:t xml:space="preserve">0.2700963 </w:t>
      </w:r>
      <w:r>
        <w:rPr>
          <w:sz w:val="24"/>
          <w:szCs w:val="24"/>
        </w:rPr>
        <w:t xml:space="preserve">    </w:t>
      </w:r>
      <w:r w:rsidRPr="006558B4">
        <w:rPr>
          <w:sz w:val="24"/>
          <w:szCs w:val="24"/>
        </w:rPr>
        <w:t>0.006524819</w:t>
      </w:r>
    </w:p>
    <w:p w14:paraId="04AEF370" w14:textId="7E7955DE" w:rsidR="006558B4" w:rsidRPr="006558B4" w:rsidRDefault="006558B4" w:rsidP="006558B4">
      <w:pPr>
        <w:rPr>
          <w:sz w:val="24"/>
          <w:szCs w:val="24"/>
        </w:rPr>
      </w:pPr>
      <w:r w:rsidRPr="006558B4">
        <w:rPr>
          <w:sz w:val="24"/>
          <w:szCs w:val="24"/>
        </w:rPr>
        <w:t xml:space="preserve">3   0.1 1e+00 </w:t>
      </w:r>
      <w:r>
        <w:rPr>
          <w:sz w:val="24"/>
          <w:szCs w:val="24"/>
        </w:rPr>
        <w:t xml:space="preserve">     </w:t>
      </w:r>
      <w:r w:rsidRPr="006558B4">
        <w:rPr>
          <w:sz w:val="24"/>
          <w:szCs w:val="24"/>
        </w:rPr>
        <w:t xml:space="preserve">0.2700963 </w:t>
      </w:r>
      <w:r>
        <w:rPr>
          <w:sz w:val="24"/>
          <w:szCs w:val="24"/>
        </w:rPr>
        <w:t xml:space="preserve">    </w:t>
      </w:r>
      <w:r w:rsidRPr="006558B4">
        <w:rPr>
          <w:sz w:val="24"/>
          <w:szCs w:val="24"/>
        </w:rPr>
        <w:t>0.006524819</w:t>
      </w:r>
    </w:p>
    <w:p w14:paraId="46BDD11A" w14:textId="60935A7B" w:rsidR="006558B4" w:rsidRPr="006558B4" w:rsidRDefault="006558B4" w:rsidP="006558B4">
      <w:pPr>
        <w:rPr>
          <w:sz w:val="24"/>
          <w:szCs w:val="24"/>
        </w:rPr>
      </w:pPr>
      <w:r w:rsidRPr="006558B4">
        <w:rPr>
          <w:sz w:val="24"/>
          <w:szCs w:val="24"/>
        </w:rPr>
        <w:t xml:space="preserve">4   0.1 1e+01 </w:t>
      </w:r>
      <w:r>
        <w:rPr>
          <w:sz w:val="24"/>
          <w:szCs w:val="24"/>
        </w:rPr>
        <w:t xml:space="preserve">     </w:t>
      </w:r>
      <w:r w:rsidRPr="006558B4">
        <w:rPr>
          <w:sz w:val="24"/>
          <w:szCs w:val="24"/>
        </w:rPr>
        <w:t xml:space="preserve">0.2700963 </w:t>
      </w:r>
      <w:r>
        <w:rPr>
          <w:sz w:val="24"/>
          <w:szCs w:val="24"/>
        </w:rPr>
        <w:t xml:space="preserve">     </w:t>
      </w:r>
      <w:r w:rsidRPr="006558B4">
        <w:rPr>
          <w:sz w:val="24"/>
          <w:szCs w:val="24"/>
        </w:rPr>
        <w:t>0.006524819</w:t>
      </w:r>
    </w:p>
    <w:p w14:paraId="7B0B9BDF" w14:textId="6990A96F" w:rsidR="006558B4" w:rsidRPr="006558B4" w:rsidRDefault="006558B4" w:rsidP="006558B4">
      <w:pPr>
        <w:rPr>
          <w:sz w:val="24"/>
          <w:szCs w:val="24"/>
        </w:rPr>
      </w:pPr>
      <w:r w:rsidRPr="006558B4">
        <w:rPr>
          <w:sz w:val="24"/>
          <w:szCs w:val="24"/>
        </w:rPr>
        <w:t xml:space="preserve">5   0.1 1e+02 </w:t>
      </w:r>
      <w:r>
        <w:rPr>
          <w:sz w:val="24"/>
          <w:szCs w:val="24"/>
        </w:rPr>
        <w:t xml:space="preserve">      </w:t>
      </w:r>
      <w:r w:rsidRPr="006558B4">
        <w:rPr>
          <w:sz w:val="24"/>
          <w:szCs w:val="24"/>
        </w:rPr>
        <w:t xml:space="preserve">0.2700963 </w:t>
      </w:r>
      <w:r>
        <w:rPr>
          <w:sz w:val="24"/>
          <w:szCs w:val="24"/>
        </w:rPr>
        <w:t xml:space="preserve">    </w:t>
      </w:r>
      <w:r w:rsidRPr="006558B4">
        <w:rPr>
          <w:sz w:val="24"/>
          <w:szCs w:val="24"/>
        </w:rPr>
        <w:t>0.006524819</w:t>
      </w:r>
    </w:p>
    <w:p w14:paraId="66A72306" w14:textId="1915C893" w:rsidR="00C521D0" w:rsidRDefault="001D4908" w:rsidP="00FD599D">
      <w:pPr>
        <w:rPr>
          <w:sz w:val="24"/>
          <w:szCs w:val="24"/>
        </w:rPr>
      </w:pPr>
      <w:r>
        <w:rPr>
          <w:sz w:val="24"/>
          <w:szCs w:val="24"/>
        </w:rPr>
        <w:t xml:space="preserve">Intuitively, </w:t>
      </w:r>
      <w:r w:rsidRPr="001D4908">
        <w:rPr>
          <w:sz w:val="24"/>
          <w:szCs w:val="24"/>
        </w:rPr>
        <w:t xml:space="preserve">A low </w:t>
      </w:r>
      <m:oMath>
        <m:r>
          <w:rPr>
            <w:rFonts w:ascii="Cambria Math" w:hAnsi="Cambria Math"/>
            <w:sz w:val="24"/>
            <w:szCs w:val="24"/>
          </w:rPr>
          <m:t>γ</m:t>
        </m:r>
      </m:oMath>
      <w:r w:rsidRPr="001D4908">
        <w:rPr>
          <w:sz w:val="24"/>
          <w:szCs w:val="24"/>
        </w:rPr>
        <w:t xml:space="preserve"> value (e.g., 0.1) leads to a smoother, more generalized decision boundary, which might not capture complex patterns. A high</w:t>
      </w:r>
      <w:r>
        <w:rPr>
          <w:sz w:val="24"/>
          <w:szCs w:val="24"/>
        </w:rPr>
        <w:t xml:space="preserve"> </w:t>
      </w:r>
      <m:oMath>
        <m:r>
          <w:rPr>
            <w:rFonts w:ascii="Cambria Math" w:hAnsi="Cambria Math"/>
            <w:sz w:val="24"/>
            <w:szCs w:val="24"/>
          </w:rPr>
          <m:t>γ</m:t>
        </m:r>
      </m:oMath>
      <w:r w:rsidRPr="001D4908">
        <w:rPr>
          <w:sz w:val="24"/>
          <w:szCs w:val="24"/>
        </w:rPr>
        <w:t xml:space="preserve"> value (e.g., 10) makes the model more sensitive to individual data points, creating a tighter boundary but increasing the risk of overfitting. Thus, a higher </w:t>
      </w:r>
      <m:oMath>
        <m:r>
          <w:rPr>
            <w:rFonts w:ascii="Cambria Math" w:hAnsi="Cambria Math"/>
            <w:sz w:val="24"/>
            <w:szCs w:val="24"/>
          </w:rPr>
          <m:t>γ</m:t>
        </m:r>
      </m:oMath>
      <w:r w:rsidRPr="001D4908">
        <w:rPr>
          <w:sz w:val="24"/>
          <w:szCs w:val="24"/>
        </w:rPr>
        <w:t xml:space="preserve"> value improves accuracy on the training set but risks poor generalization on new data.</w:t>
      </w:r>
      <w:r>
        <w:rPr>
          <w:sz w:val="24"/>
          <w:szCs w:val="24"/>
        </w:rPr>
        <w:t xml:space="preserve"> </w:t>
      </w:r>
    </w:p>
    <w:p w14:paraId="1707D0B0" w14:textId="7EEBD762" w:rsidR="00C521D0" w:rsidRPr="00C521D0" w:rsidRDefault="00C521D0" w:rsidP="00FD599D">
      <w:pPr>
        <w:rPr>
          <w:sz w:val="24"/>
          <w:szCs w:val="24"/>
        </w:rPr>
      </w:pPr>
      <w:r w:rsidRPr="00C521D0">
        <w:rPr>
          <w:sz w:val="24"/>
          <w:szCs w:val="24"/>
        </w:rPr>
        <w:t xml:space="preserve">In </w:t>
      </w:r>
      <w:r>
        <w:rPr>
          <w:sz w:val="24"/>
          <w:szCs w:val="24"/>
        </w:rPr>
        <w:t>m</w:t>
      </w:r>
      <w:r w:rsidRPr="00C521D0">
        <w:rPr>
          <w:sz w:val="24"/>
          <w:szCs w:val="24"/>
        </w:rPr>
        <w:t xml:space="preserve">y tuning process, </w:t>
      </w:r>
      <w:r>
        <w:rPr>
          <w:sz w:val="24"/>
          <w:szCs w:val="24"/>
        </w:rPr>
        <w:t>I</w:t>
      </w:r>
      <w:r w:rsidRPr="00C521D0">
        <w:rPr>
          <w:sz w:val="24"/>
          <w:szCs w:val="24"/>
        </w:rPr>
        <w:t xml:space="preserve"> found that the optimal cost parameter for this gamma value is 100, indicating that this setting may balance complexity and generalization effectively for </w:t>
      </w:r>
      <w:r>
        <w:rPr>
          <w:sz w:val="24"/>
          <w:szCs w:val="24"/>
        </w:rPr>
        <w:t>my</w:t>
      </w:r>
      <w:r w:rsidRPr="00C521D0">
        <w:rPr>
          <w:sz w:val="24"/>
          <w:szCs w:val="24"/>
        </w:rPr>
        <w:t xml:space="preserve"> dataset.</w:t>
      </w:r>
    </w:p>
    <w:p w14:paraId="22F2A372" w14:textId="77777777" w:rsidR="006558B4" w:rsidRDefault="006558B4" w:rsidP="00FD599D">
      <w:pPr>
        <w:rPr>
          <w:sz w:val="24"/>
          <w:szCs w:val="24"/>
        </w:rPr>
      </w:pPr>
    </w:p>
    <w:p w14:paraId="3ED30A4E" w14:textId="77777777" w:rsidR="00C521D0" w:rsidRDefault="00C521D0" w:rsidP="00FD599D">
      <w:pPr>
        <w:rPr>
          <w:sz w:val="24"/>
          <w:szCs w:val="24"/>
        </w:rPr>
      </w:pPr>
    </w:p>
    <w:p w14:paraId="1C205177" w14:textId="5AA06DC0" w:rsidR="006F3AE5" w:rsidRPr="006F3AE5" w:rsidRDefault="006F3AE5" w:rsidP="006F3AE5">
      <w:pPr>
        <w:rPr>
          <w:sz w:val="24"/>
          <w:szCs w:val="24"/>
        </w:rPr>
      </w:pPr>
      <w:r>
        <w:rPr>
          <w:sz w:val="24"/>
          <w:szCs w:val="24"/>
        </w:rPr>
        <w:lastRenderedPageBreak/>
        <w:t>(</w:t>
      </w:r>
      <w:proofErr w:type="spellStart"/>
      <w:r>
        <w:rPr>
          <w:sz w:val="24"/>
          <w:szCs w:val="24"/>
        </w:rPr>
        <w:t>i</w:t>
      </w:r>
      <w:proofErr w:type="spellEnd"/>
      <w:r>
        <w:rPr>
          <w:sz w:val="24"/>
          <w:szCs w:val="24"/>
        </w:rPr>
        <w:t xml:space="preserve">) </w:t>
      </w:r>
      <w:r w:rsidRPr="006F3AE5">
        <w:rPr>
          <w:sz w:val="24"/>
          <w:szCs w:val="24"/>
        </w:rPr>
        <w:t xml:space="preserve">          Model              </w:t>
      </w:r>
      <w:r w:rsidR="006558B4">
        <w:rPr>
          <w:sz w:val="24"/>
          <w:szCs w:val="24"/>
        </w:rPr>
        <w:t xml:space="preserve">                         </w:t>
      </w:r>
      <w:r w:rsidRPr="006F3AE5">
        <w:rPr>
          <w:sz w:val="24"/>
          <w:szCs w:val="24"/>
        </w:rPr>
        <w:t>Mean</w:t>
      </w:r>
      <w:r w:rsidR="00E370DA">
        <w:rPr>
          <w:sz w:val="24"/>
          <w:szCs w:val="24"/>
        </w:rPr>
        <w:t xml:space="preserve"> </w:t>
      </w:r>
      <w:r w:rsidRPr="006F3AE5">
        <w:rPr>
          <w:sz w:val="24"/>
          <w:szCs w:val="24"/>
        </w:rPr>
        <w:t>Classification</w:t>
      </w:r>
      <w:r w:rsidR="00E370DA">
        <w:rPr>
          <w:sz w:val="24"/>
          <w:szCs w:val="24"/>
        </w:rPr>
        <w:t xml:space="preserve"> </w:t>
      </w:r>
      <w:r w:rsidRPr="006F3AE5">
        <w:rPr>
          <w:sz w:val="24"/>
          <w:szCs w:val="24"/>
        </w:rPr>
        <w:t>Error</w:t>
      </w:r>
    </w:p>
    <w:p w14:paraId="1EE202AC" w14:textId="79AFA04E" w:rsidR="006F3AE5" w:rsidRPr="006F3AE5" w:rsidRDefault="006F3AE5" w:rsidP="006F3AE5">
      <w:pPr>
        <w:rPr>
          <w:sz w:val="24"/>
          <w:szCs w:val="24"/>
        </w:rPr>
      </w:pPr>
      <w:r w:rsidRPr="006F3AE5">
        <w:rPr>
          <w:sz w:val="24"/>
          <w:szCs w:val="24"/>
        </w:rPr>
        <w:t xml:space="preserve">1  </w:t>
      </w:r>
      <w:r>
        <w:rPr>
          <w:sz w:val="24"/>
          <w:szCs w:val="24"/>
        </w:rPr>
        <w:t xml:space="preserve">          </w:t>
      </w:r>
      <w:r w:rsidRPr="006F3AE5">
        <w:rPr>
          <w:sz w:val="24"/>
          <w:szCs w:val="24"/>
        </w:rPr>
        <w:t xml:space="preserve">Linear Probability Model                 </w:t>
      </w:r>
      <w:r w:rsidR="008D7204">
        <w:rPr>
          <w:sz w:val="24"/>
          <w:szCs w:val="24"/>
        </w:rPr>
        <w:t>0.267</w:t>
      </w:r>
    </w:p>
    <w:p w14:paraId="5F8D3C0D" w14:textId="12EBC34A" w:rsidR="006F3AE5" w:rsidRPr="006F3AE5" w:rsidRDefault="006F3AE5" w:rsidP="006F3AE5">
      <w:pPr>
        <w:rPr>
          <w:sz w:val="24"/>
          <w:szCs w:val="24"/>
        </w:rPr>
      </w:pPr>
      <w:r w:rsidRPr="006F3AE5">
        <w:rPr>
          <w:sz w:val="24"/>
          <w:szCs w:val="24"/>
        </w:rPr>
        <w:t xml:space="preserve">2            Logit Model                  </w:t>
      </w:r>
      <w:r w:rsidR="008D7204">
        <w:rPr>
          <w:sz w:val="24"/>
          <w:szCs w:val="24"/>
        </w:rPr>
        <w:t xml:space="preserve">                      0.259</w:t>
      </w:r>
    </w:p>
    <w:p w14:paraId="4845A812" w14:textId="579F3CC9" w:rsidR="006F3AE5" w:rsidRPr="006F3AE5" w:rsidRDefault="006F3AE5" w:rsidP="006F3AE5">
      <w:pPr>
        <w:rPr>
          <w:sz w:val="24"/>
          <w:szCs w:val="24"/>
        </w:rPr>
      </w:pPr>
      <w:r w:rsidRPr="006F3AE5">
        <w:rPr>
          <w:sz w:val="24"/>
          <w:szCs w:val="24"/>
        </w:rPr>
        <w:t xml:space="preserve">3            Probit Model                  </w:t>
      </w:r>
      <w:r w:rsidR="008D7204">
        <w:rPr>
          <w:sz w:val="24"/>
          <w:szCs w:val="24"/>
        </w:rPr>
        <w:t xml:space="preserve">                    0.261</w:t>
      </w:r>
    </w:p>
    <w:p w14:paraId="334DA337" w14:textId="25766843" w:rsidR="006F3AE5" w:rsidRPr="006F3AE5" w:rsidRDefault="006F3AE5" w:rsidP="006F3AE5">
      <w:pPr>
        <w:rPr>
          <w:sz w:val="24"/>
          <w:szCs w:val="24"/>
        </w:rPr>
      </w:pPr>
      <w:r w:rsidRPr="006F3AE5">
        <w:rPr>
          <w:sz w:val="24"/>
          <w:szCs w:val="24"/>
        </w:rPr>
        <w:t>4             SVM (</w:t>
      </w:r>
      <m:oMath>
        <m:r>
          <w:rPr>
            <w:rFonts w:ascii="Cambria Math" w:hAnsi="Cambria Math"/>
            <w:sz w:val="24"/>
            <w:szCs w:val="24"/>
          </w:rPr>
          <m:t>γ</m:t>
        </m:r>
      </m:oMath>
      <w:r w:rsidRPr="006F3AE5">
        <w:rPr>
          <w:sz w:val="24"/>
          <w:szCs w:val="24"/>
        </w:rPr>
        <w:t xml:space="preserve"> = 0.1)                  </w:t>
      </w:r>
      <w:r w:rsidR="008D7204">
        <w:rPr>
          <w:sz w:val="24"/>
          <w:szCs w:val="24"/>
        </w:rPr>
        <w:t xml:space="preserve">                   0.</w:t>
      </w:r>
      <w:r w:rsidR="00C521D0">
        <w:rPr>
          <w:sz w:val="24"/>
          <w:szCs w:val="24"/>
        </w:rPr>
        <w:t>689</w:t>
      </w:r>
    </w:p>
    <w:p w14:paraId="447B454E" w14:textId="5F9C439D" w:rsidR="006F3AE5" w:rsidRPr="006F3AE5" w:rsidRDefault="006F3AE5" w:rsidP="006F3AE5">
      <w:pPr>
        <w:rPr>
          <w:sz w:val="24"/>
          <w:szCs w:val="24"/>
        </w:rPr>
      </w:pPr>
      <w:r w:rsidRPr="006F3AE5">
        <w:rPr>
          <w:sz w:val="24"/>
          <w:szCs w:val="24"/>
        </w:rPr>
        <w:t>5             SVM (</w:t>
      </w:r>
      <m:oMath>
        <m:r>
          <w:rPr>
            <w:rFonts w:ascii="Cambria Math" w:hAnsi="Cambria Math"/>
            <w:sz w:val="24"/>
            <w:szCs w:val="24"/>
          </w:rPr>
          <m:t>γ</m:t>
        </m:r>
      </m:oMath>
      <w:r w:rsidR="00637530" w:rsidRPr="006F3AE5">
        <w:rPr>
          <w:sz w:val="24"/>
          <w:szCs w:val="24"/>
        </w:rPr>
        <w:t xml:space="preserve"> </w:t>
      </w:r>
      <w:r w:rsidRPr="006F3AE5">
        <w:rPr>
          <w:sz w:val="24"/>
          <w:szCs w:val="24"/>
        </w:rPr>
        <w:t xml:space="preserve">= 10)                   </w:t>
      </w:r>
      <w:r w:rsidR="00175DF6">
        <w:rPr>
          <w:sz w:val="24"/>
          <w:szCs w:val="24"/>
        </w:rPr>
        <w:t xml:space="preserve">                  </w:t>
      </w:r>
      <w:r w:rsidR="00E370DA">
        <w:rPr>
          <w:sz w:val="24"/>
          <w:szCs w:val="24"/>
        </w:rPr>
        <w:t xml:space="preserve"> </w:t>
      </w:r>
      <w:r w:rsidR="00C521D0">
        <w:rPr>
          <w:sz w:val="24"/>
          <w:szCs w:val="24"/>
        </w:rPr>
        <w:t>0.583</w:t>
      </w:r>
    </w:p>
    <w:p w14:paraId="56C881E0" w14:textId="32A55FA4" w:rsidR="006F3AE5" w:rsidRDefault="006F3AE5" w:rsidP="006F3AE5">
      <w:pPr>
        <w:rPr>
          <w:sz w:val="24"/>
          <w:szCs w:val="24"/>
        </w:rPr>
      </w:pPr>
      <w:r w:rsidRPr="006F3AE5">
        <w:rPr>
          <w:sz w:val="24"/>
          <w:szCs w:val="24"/>
        </w:rPr>
        <w:t xml:space="preserve">6 </w:t>
      </w:r>
      <w:r>
        <w:rPr>
          <w:sz w:val="24"/>
          <w:szCs w:val="24"/>
        </w:rPr>
        <w:t xml:space="preserve">           </w:t>
      </w:r>
      <w:r w:rsidRPr="006F3AE5">
        <w:rPr>
          <w:sz w:val="24"/>
          <w:szCs w:val="24"/>
        </w:rPr>
        <w:t xml:space="preserve">Lasso Logistic </w:t>
      </w:r>
      <w:r w:rsidR="00175DF6">
        <w:rPr>
          <w:sz w:val="24"/>
          <w:szCs w:val="24"/>
        </w:rPr>
        <w:t xml:space="preserve">                                    </w:t>
      </w:r>
      <w:r w:rsidR="00E370DA">
        <w:rPr>
          <w:sz w:val="24"/>
          <w:szCs w:val="24"/>
        </w:rPr>
        <w:t xml:space="preserve"> </w:t>
      </w:r>
      <w:r w:rsidR="00175DF6">
        <w:rPr>
          <w:sz w:val="24"/>
          <w:szCs w:val="24"/>
        </w:rPr>
        <w:t>0.194</w:t>
      </w:r>
    </w:p>
    <w:p w14:paraId="46971F12" w14:textId="77777777" w:rsidR="00FD599D" w:rsidRDefault="00FD599D" w:rsidP="00FD599D">
      <w:pPr>
        <w:rPr>
          <w:sz w:val="24"/>
          <w:szCs w:val="24"/>
        </w:rPr>
      </w:pPr>
    </w:p>
    <w:p w14:paraId="745CC872" w14:textId="35CFE8D4" w:rsidR="00C521D0" w:rsidRDefault="00C521D0" w:rsidP="00FD599D">
      <w:pPr>
        <w:rPr>
          <w:sz w:val="24"/>
          <w:szCs w:val="24"/>
        </w:rPr>
      </w:pPr>
      <w:r w:rsidRPr="00C521D0">
        <w:rPr>
          <w:sz w:val="24"/>
          <w:szCs w:val="24"/>
        </w:rPr>
        <w:t xml:space="preserve">The mean classification errors indicate the performance of different models in predicting superhost status. The Lasso Logistic model has the lowest error at 0.194, suggesting it is the most accurate in this context. The Logit model follows with an error of 0.259, while the Probit model is slightly worse at 0.261. The Linear Probability Model has a higher error of 0.267. In contrast, the SVM models show significantly higher errors, particularly with </w:t>
      </w:r>
      <m:oMath>
        <m:r>
          <w:rPr>
            <w:rFonts w:ascii="Cambria Math" w:hAnsi="Cambria Math"/>
            <w:sz w:val="24"/>
            <w:szCs w:val="24"/>
          </w:rPr>
          <m:t>γ</m:t>
        </m:r>
      </m:oMath>
      <w:r w:rsidR="00637530" w:rsidRPr="00C521D0">
        <w:rPr>
          <w:sz w:val="24"/>
          <w:szCs w:val="24"/>
        </w:rPr>
        <w:t xml:space="preserve"> </w:t>
      </w:r>
      <w:r w:rsidRPr="00C521D0">
        <w:rPr>
          <w:sz w:val="24"/>
          <w:szCs w:val="24"/>
        </w:rPr>
        <w:t>=0.1 at 0.689, indicating poorer predictive performance compared to the other models.</w:t>
      </w:r>
    </w:p>
    <w:p w14:paraId="0584B2C8" w14:textId="77777777" w:rsidR="00C521D0" w:rsidRPr="00C521D0" w:rsidRDefault="00C521D0" w:rsidP="00FD599D">
      <w:pPr>
        <w:rPr>
          <w:sz w:val="24"/>
          <w:szCs w:val="24"/>
        </w:rPr>
      </w:pPr>
    </w:p>
    <w:p w14:paraId="602A35DB" w14:textId="20F4C74D" w:rsidR="00FD599D" w:rsidRPr="00FD599D" w:rsidRDefault="00FD599D" w:rsidP="00FD599D">
      <w:pPr>
        <w:rPr>
          <w:sz w:val="24"/>
          <w:szCs w:val="24"/>
          <w:lang w:val="en-US"/>
        </w:rPr>
      </w:pPr>
      <w:r>
        <w:rPr>
          <w:sz w:val="24"/>
          <w:szCs w:val="24"/>
          <w:lang w:val="en-US"/>
        </w:rPr>
        <w:t>2. CONCEPTUAL PROBLEMS</w:t>
      </w:r>
    </w:p>
    <w:p w14:paraId="6D626712" w14:textId="300C9D8E" w:rsidR="00FD599D" w:rsidRDefault="00FD599D" w:rsidP="00FD599D">
      <w:pPr>
        <w:rPr>
          <w:sz w:val="24"/>
          <w:szCs w:val="24"/>
        </w:rPr>
      </w:pPr>
      <w:r>
        <w:rPr>
          <w:sz w:val="24"/>
          <w:szCs w:val="24"/>
        </w:rPr>
        <w:t xml:space="preserve">(a) </w:t>
      </w:r>
      <w:r w:rsidRPr="00FD599D">
        <w:rPr>
          <w:sz w:val="24"/>
          <w:szCs w:val="24"/>
        </w:rPr>
        <w:t xml:space="preserve">In the Multinomial Logit (MNL) model, each consumer's choice of an iPhone model is based on the utility they get from the different options. Given that price is the only factor influencing the choice, and the effect of price is the same for all models (represented by the coefficient </w:t>
      </w:r>
      <m:oMath>
        <m:r>
          <w:rPr>
            <w:rFonts w:ascii="Cambria Math" w:hAnsi="Cambria Math"/>
            <w:sz w:val="24"/>
            <w:szCs w:val="24"/>
          </w:rPr>
          <m:t>β</m:t>
        </m:r>
      </m:oMath>
      <w:r w:rsidRPr="00FD599D">
        <w:rPr>
          <w:sz w:val="24"/>
          <w:szCs w:val="24"/>
        </w:rPr>
        <w:t>), the probability of a consumer choosing the iPhone 16 is:</w:t>
      </w:r>
    </w:p>
    <w:p w14:paraId="1E71CA36" w14:textId="4D861E34" w:rsidR="00FD599D" w:rsidRDefault="00FD599D" w:rsidP="00FD599D">
      <w:pPr>
        <w:rPr>
          <w:rFonts w:eastAsiaTheme="minorEastAsia"/>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choose iphone 16</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 xml:space="preserve"> β*price 16</m:t>
                </m:r>
              </m:e>
            </m:d>
          </m:e>
        </m:func>
        <m:r>
          <w:rPr>
            <w:rFonts w:ascii="Cambria Math" w:hAnsi="Cambria Math"/>
            <w:sz w:val="24"/>
            <w:szCs w:val="24"/>
          </w:rPr>
          <m:t>}</m:t>
        </m:r>
      </m:oMath>
      <w:r>
        <w:rPr>
          <w:rFonts w:eastAsiaTheme="minorEastAsia"/>
          <w:sz w:val="24"/>
          <w:szCs w:val="24"/>
        </w:rPr>
        <w:t xml:space="preserve"> / </w:t>
      </w:r>
      <m:oMath>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4</m:t>
            </m:r>
          </m:sup>
          <m:e>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 xml:space="preserve"> β*</m:t>
                    </m:r>
                    <m:sSub>
                      <m:sSubPr>
                        <m:ctrlPr>
                          <w:rPr>
                            <w:rFonts w:ascii="Cambria Math" w:hAnsi="Cambria Math"/>
                            <w:i/>
                            <w:sz w:val="24"/>
                            <w:szCs w:val="24"/>
                          </w:rPr>
                        </m:ctrlPr>
                      </m:sSubPr>
                      <m:e>
                        <m:r>
                          <w:rPr>
                            <w:rFonts w:ascii="Cambria Math" w:hAnsi="Cambria Math"/>
                            <w:sz w:val="24"/>
                            <w:szCs w:val="24"/>
                          </w:rPr>
                          <m:t>price</m:t>
                        </m:r>
                      </m:e>
                      <m:sub>
                        <m:r>
                          <w:rPr>
                            <w:rFonts w:ascii="Cambria Math" w:hAnsi="Cambria Math"/>
                            <w:sz w:val="24"/>
                            <w:szCs w:val="24"/>
                          </w:rPr>
                          <m:t>j</m:t>
                        </m:r>
                      </m:sub>
                    </m:sSub>
                  </m:e>
                </m:d>
              </m:e>
            </m:func>
          </m:e>
        </m:nary>
      </m:oMath>
      <w:r w:rsidR="00E370DA">
        <w:rPr>
          <w:rFonts w:eastAsiaTheme="minorEastAsia"/>
          <w:sz w:val="24"/>
          <w:szCs w:val="24"/>
        </w:rPr>
        <w:t>}</w:t>
      </w:r>
    </w:p>
    <w:p w14:paraId="224CEDA6" w14:textId="699919D1" w:rsidR="00E370DA" w:rsidRPr="00FD599D" w:rsidRDefault="00E370DA" w:rsidP="00FD599D">
      <w:pPr>
        <w:rPr>
          <w:rFonts w:eastAsiaTheme="minorEastAsia"/>
          <w:sz w:val="24"/>
          <w:szCs w:val="24"/>
        </w:rPr>
      </w:pPr>
      <w:r w:rsidRPr="00E370DA">
        <w:rPr>
          <w:rFonts w:eastAsiaTheme="minorEastAsia"/>
          <w:sz w:val="24"/>
          <w:szCs w:val="24"/>
        </w:rPr>
        <w:t xml:space="preserve">where β is the price sensitivity coefficient, and </w:t>
      </w:r>
      <m:oMath>
        <m:sSub>
          <m:sSubPr>
            <m:ctrlPr>
              <w:rPr>
                <w:rFonts w:ascii="Cambria Math" w:hAnsi="Cambria Math"/>
                <w:i/>
                <w:sz w:val="24"/>
                <w:szCs w:val="24"/>
              </w:rPr>
            </m:ctrlPr>
          </m:sSubPr>
          <m:e>
            <m:r>
              <w:rPr>
                <w:rFonts w:ascii="Cambria Math" w:hAnsi="Cambria Math"/>
                <w:sz w:val="24"/>
                <w:szCs w:val="24"/>
              </w:rPr>
              <m:t>price</m:t>
            </m:r>
          </m:e>
          <m:sub>
            <m:r>
              <w:rPr>
                <w:rFonts w:ascii="Cambria Math" w:hAnsi="Cambria Math"/>
                <w:sz w:val="24"/>
                <w:szCs w:val="24"/>
              </w:rPr>
              <m:t>j</m:t>
            </m:r>
          </m:sub>
        </m:sSub>
        <m:r>
          <w:rPr>
            <w:rFonts w:ascii="Cambria Math" w:hAnsi="Cambria Math"/>
            <w:sz w:val="24"/>
            <w:szCs w:val="24"/>
          </w:rPr>
          <m:t xml:space="preserve"> </m:t>
        </m:r>
      </m:oMath>
      <w:r w:rsidRPr="00E370DA">
        <w:rPr>
          <w:rFonts w:eastAsiaTheme="minorEastAsia"/>
          <w:sz w:val="24"/>
          <w:szCs w:val="24"/>
        </w:rPr>
        <w:t>represents the price of each iPhone model (e.g., iPhone SE, iPhone 15, iPhone 16, iPhone 16 Pro). The numerator gives the utility from iPhone 16, and the denominator sums the utilities for all models, reflecting consumer choice as a function of price comparisons.</w:t>
      </w:r>
    </w:p>
    <w:p w14:paraId="209D6CFD" w14:textId="670AA53C" w:rsidR="00FD599D" w:rsidRDefault="00FD599D" w:rsidP="00FD599D">
      <w:pPr>
        <w:rPr>
          <w:sz w:val="24"/>
          <w:szCs w:val="24"/>
        </w:rPr>
      </w:pPr>
      <w:r w:rsidRPr="00FD599D">
        <w:rPr>
          <w:sz w:val="24"/>
          <w:szCs w:val="24"/>
        </w:rPr>
        <w:t>This formula shows that the probability of choosing the iPhone 16 depends on its price relative to the other models. If the iPhone 16 has a lower price compared to the other models, its probability of being chosen increases. The MNL model captures the trade-offs consumers make between different product options, and the probability is influenced by the prices of all available iPhone models.</w:t>
      </w:r>
    </w:p>
    <w:p w14:paraId="0E407B5F" w14:textId="77777777" w:rsidR="00FD599D" w:rsidRDefault="00FD599D" w:rsidP="00FD599D">
      <w:pPr>
        <w:rPr>
          <w:sz w:val="24"/>
          <w:szCs w:val="24"/>
        </w:rPr>
      </w:pPr>
    </w:p>
    <w:p w14:paraId="046F1B61" w14:textId="6251D217" w:rsidR="00FD599D" w:rsidRDefault="00FD599D" w:rsidP="00FD599D">
      <w:pPr>
        <w:rPr>
          <w:sz w:val="24"/>
          <w:szCs w:val="24"/>
        </w:rPr>
      </w:pPr>
      <w:r>
        <w:rPr>
          <w:sz w:val="24"/>
          <w:szCs w:val="24"/>
        </w:rPr>
        <w:t xml:space="preserve">(b) </w:t>
      </w:r>
      <w:r w:rsidR="002F648B" w:rsidRPr="002F648B">
        <w:rPr>
          <w:sz w:val="24"/>
          <w:szCs w:val="24"/>
        </w:rPr>
        <w:t>To predict the market share of the new "iPhone 16 Super" using the estimated Multinomial Logit (MNL) model, we calculate its probability of being chosen relative to the other iPhone models. The formula is:</w:t>
      </w:r>
    </w:p>
    <w:p w14:paraId="0BBF2E62" w14:textId="7B2231EE" w:rsidR="002F648B" w:rsidRPr="002F648B" w:rsidRDefault="002F648B" w:rsidP="00FD599D">
      <w:pPr>
        <w:rPr>
          <w:rFonts w:eastAsiaTheme="minorEastAsia"/>
          <w:sz w:val="24"/>
          <w:szCs w:val="24"/>
        </w:rPr>
      </w:pPr>
      <m:oMathPara>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iphone 16 super</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 xml:space="preserve"> β*price 16 super</m:t>
                  </m:r>
                </m:e>
              </m:d>
            </m:e>
          </m:func>
          <m:r>
            <w:rPr>
              <w:rFonts w:ascii="Cambria Math"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5</m:t>
              </m:r>
            </m:sup>
            <m:e>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 xml:space="preserve"> β*</m:t>
                      </m:r>
                      <m:sSub>
                        <m:sSubPr>
                          <m:ctrlPr>
                            <w:rPr>
                              <w:rFonts w:ascii="Cambria Math" w:hAnsi="Cambria Math"/>
                              <w:i/>
                              <w:sz w:val="24"/>
                              <w:szCs w:val="24"/>
                            </w:rPr>
                          </m:ctrlPr>
                        </m:sSubPr>
                        <m:e>
                          <m:r>
                            <w:rPr>
                              <w:rFonts w:ascii="Cambria Math" w:hAnsi="Cambria Math"/>
                              <w:sz w:val="24"/>
                              <w:szCs w:val="24"/>
                            </w:rPr>
                            <m:t xml:space="preserve">price </m:t>
                          </m:r>
                        </m:e>
                        <m:sub>
                          <m:r>
                            <w:rPr>
                              <w:rFonts w:ascii="Cambria Math" w:hAnsi="Cambria Math"/>
                              <w:sz w:val="24"/>
                              <w:szCs w:val="24"/>
                            </w:rPr>
                            <m:t>j</m:t>
                          </m:r>
                        </m:sub>
                      </m:sSub>
                    </m:e>
                  </m:d>
                </m:e>
              </m:func>
              <m:r>
                <w:rPr>
                  <w:rFonts w:ascii="Cambria Math" w:hAnsi="Cambria Math"/>
                  <w:sz w:val="24"/>
                  <w:szCs w:val="24"/>
                </w:rPr>
                <m:t>}</m:t>
              </m:r>
            </m:e>
          </m:nary>
        </m:oMath>
      </m:oMathPara>
    </w:p>
    <w:p w14:paraId="670CCE12" w14:textId="5DD0746B" w:rsidR="002F648B" w:rsidRDefault="002F648B" w:rsidP="00FD599D">
      <w:pPr>
        <w:rPr>
          <w:rFonts w:eastAsiaTheme="minorEastAsia"/>
          <w:sz w:val="24"/>
          <w:szCs w:val="24"/>
        </w:rPr>
      </w:pPr>
      <w:r w:rsidRPr="002F648B">
        <w:rPr>
          <w:rFonts w:eastAsiaTheme="minorEastAsia"/>
          <w:sz w:val="24"/>
          <w:szCs w:val="24"/>
        </w:rPr>
        <w:t xml:space="preserve">To estimate this, </w:t>
      </w:r>
      <w:r>
        <w:rPr>
          <w:rFonts w:eastAsiaTheme="minorEastAsia"/>
          <w:sz w:val="24"/>
          <w:szCs w:val="24"/>
        </w:rPr>
        <w:t>we</w:t>
      </w:r>
      <w:r w:rsidRPr="002F648B">
        <w:rPr>
          <w:rFonts w:eastAsiaTheme="minorEastAsia"/>
          <w:sz w:val="24"/>
          <w:szCs w:val="24"/>
        </w:rPr>
        <w:t xml:space="preserve"> would assign a price to the iPhone 16 Super and include it in the calculation along with the prices of the existing models (iPhone SE, iPhone 15, iPhone 16, and iPhone 16 Pro). The predicted market share depends on how its price compares to the other models—lower prices or better features will increase its predicted share.</w:t>
      </w:r>
    </w:p>
    <w:p w14:paraId="2EF64371" w14:textId="77777777" w:rsidR="002F648B" w:rsidRDefault="002F648B" w:rsidP="00FD599D">
      <w:pPr>
        <w:rPr>
          <w:rFonts w:eastAsiaTheme="minorEastAsia"/>
          <w:sz w:val="24"/>
          <w:szCs w:val="24"/>
        </w:rPr>
      </w:pPr>
    </w:p>
    <w:p w14:paraId="0B48ED9A" w14:textId="6AA903A9" w:rsidR="002F648B" w:rsidRDefault="002F648B" w:rsidP="00FD599D">
      <w:pPr>
        <w:rPr>
          <w:rFonts w:eastAsiaTheme="minorEastAsia"/>
          <w:sz w:val="24"/>
          <w:szCs w:val="24"/>
        </w:rPr>
      </w:pPr>
      <w:r w:rsidRPr="0004693F">
        <w:rPr>
          <w:rFonts w:eastAsiaTheme="minorEastAsia"/>
          <w:sz w:val="24"/>
          <w:szCs w:val="24"/>
        </w:rPr>
        <w:t xml:space="preserve">(c) </w:t>
      </w:r>
      <w:r w:rsidR="00AF30E9">
        <w:rPr>
          <w:rFonts w:eastAsiaTheme="minorEastAsia"/>
          <w:sz w:val="24"/>
          <w:szCs w:val="24"/>
        </w:rPr>
        <w:t>T</w:t>
      </w:r>
      <w:r w:rsidR="00AF30E9" w:rsidRPr="00AF30E9">
        <w:rPr>
          <w:rFonts w:eastAsiaTheme="minorEastAsia"/>
          <w:sz w:val="24"/>
          <w:szCs w:val="24"/>
        </w:rPr>
        <w:t>he MNL model predicts how the demand for each iPhone model changes based on prices. The demand for the iPhone 16 (or any model) is influenced by its price relative to the other models. This allows us to estimate how pricing changes affect market shares and ultimately revenue. For the new iPhone 16 Super, we can predict its market share by comparing its price to other models, guiding our pricing strategy to maximize sales and profit.</w:t>
      </w:r>
    </w:p>
    <w:p w14:paraId="7C502DAA" w14:textId="77777777" w:rsidR="0004693F" w:rsidRDefault="0004693F" w:rsidP="00FD599D">
      <w:pPr>
        <w:rPr>
          <w:rFonts w:eastAsiaTheme="minorEastAsia"/>
          <w:sz w:val="24"/>
          <w:szCs w:val="24"/>
        </w:rPr>
      </w:pPr>
    </w:p>
    <w:p w14:paraId="66982468" w14:textId="0B6F3559" w:rsidR="002F648B" w:rsidRPr="002F648B" w:rsidRDefault="0004693F" w:rsidP="00FD599D">
      <w:pPr>
        <w:rPr>
          <w:rFonts w:eastAsiaTheme="minorEastAsia"/>
          <w:sz w:val="24"/>
          <w:szCs w:val="24"/>
        </w:rPr>
      </w:pPr>
      <w:r>
        <w:rPr>
          <w:rFonts w:eastAsiaTheme="minorEastAsia"/>
          <w:sz w:val="24"/>
          <w:szCs w:val="24"/>
        </w:rPr>
        <w:t>(d)</w:t>
      </w:r>
      <w:r w:rsidR="00C878C6">
        <w:rPr>
          <w:rFonts w:eastAsiaTheme="minorEastAsia"/>
          <w:sz w:val="24"/>
          <w:szCs w:val="24"/>
        </w:rPr>
        <w:t xml:space="preserve"> </w:t>
      </w:r>
      <w:r w:rsidR="00AF30E9" w:rsidRPr="00AF30E9">
        <w:rPr>
          <w:rFonts w:eastAsiaTheme="minorEastAsia"/>
          <w:sz w:val="24"/>
          <w:szCs w:val="24"/>
        </w:rPr>
        <w:t>When a new iPhone model (iPhone 16 Super) is introduced, the market shares of the existing models must decrease. This is because the sum of the probabilities must still equal 1, and adding a new model divides the total probability between more options. As a result, the iPhone 16 Super will take market share from other models. Companies can use this insight to adjust their marketing strategies and production plans to maximize overall profitability while accounting for the potential loss in market share for older models.</w:t>
      </w:r>
    </w:p>
    <w:p w14:paraId="3738A125" w14:textId="77777777" w:rsidR="002F648B" w:rsidRPr="00FD599D" w:rsidRDefault="002F648B" w:rsidP="00FD599D">
      <w:pPr>
        <w:rPr>
          <w:rFonts w:eastAsiaTheme="minorEastAsia"/>
          <w:sz w:val="24"/>
          <w:szCs w:val="24"/>
        </w:rPr>
      </w:pPr>
    </w:p>
    <w:p w14:paraId="4219397D" w14:textId="526AEF90" w:rsidR="005C713F" w:rsidRPr="002C4A1E" w:rsidRDefault="005C713F" w:rsidP="002C4A1E">
      <w:pPr>
        <w:rPr>
          <w:sz w:val="24"/>
          <w:szCs w:val="24"/>
          <w:lang w:val="en-US"/>
        </w:rPr>
      </w:pPr>
    </w:p>
    <w:sectPr w:rsidR="005C713F" w:rsidRPr="002C4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C406F"/>
    <w:multiLevelType w:val="multilevel"/>
    <w:tmpl w:val="451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6283D"/>
    <w:multiLevelType w:val="multilevel"/>
    <w:tmpl w:val="B194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84964"/>
    <w:multiLevelType w:val="multilevel"/>
    <w:tmpl w:val="B038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8695B"/>
    <w:multiLevelType w:val="multilevel"/>
    <w:tmpl w:val="4964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23FD5"/>
    <w:multiLevelType w:val="multilevel"/>
    <w:tmpl w:val="349C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82C13"/>
    <w:multiLevelType w:val="multilevel"/>
    <w:tmpl w:val="4332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403DD"/>
    <w:multiLevelType w:val="multilevel"/>
    <w:tmpl w:val="C34A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663247">
    <w:abstractNumId w:val="2"/>
  </w:num>
  <w:num w:numId="2" w16cid:durableId="773407080">
    <w:abstractNumId w:val="0"/>
  </w:num>
  <w:num w:numId="3" w16cid:durableId="1484741545">
    <w:abstractNumId w:val="6"/>
  </w:num>
  <w:num w:numId="4" w16cid:durableId="1606884452">
    <w:abstractNumId w:val="4"/>
  </w:num>
  <w:num w:numId="5" w16cid:durableId="392974162">
    <w:abstractNumId w:val="3"/>
  </w:num>
  <w:num w:numId="6" w16cid:durableId="1882092430">
    <w:abstractNumId w:val="1"/>
  </w:num>
  <w:num w:numId="7" w16cid:durableId="2101103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1E"/>
    <w:rsid w:val="00027846"/>
    <w:rsid w:val="0004693F"/>
    <w:rsid w:val="00140284"/>
    <w:rsid w:val="00175DF6"/>
    <w:rsid w:val="001D2F11"/>
    <w:rsid w:val="001D4908"/>
    <w:rsid w:val="002C4A1E"/>
    <w:rsid w:val="002F648B"/>
    <w:rsid w:val="00411208"/>
    <w:rsid w:val="00432195"/>
    <w:rsid w:val="005C713F"/>
    <w:rsid w:val="00637530"/>
    <w:rsid w:val="006558B4"/>
    <w:rsid w:val="006F3AE5"/>
    <w:rsid w:val="008D7204"/>
    <w:rsid w:val="00AF30E9"/>
    <w:rsid w:val="00C427FF"/>
    <w:rsid w:val="00C521D0"/>
    <w:rsid w:val="00C878C6"/>
    <w:rsid w:val="00DF01FF"/>
    <w:rsid w:val="00E370DA"/>
    <w:rsid w:val="00E80791"/>
    <w:rsid w:val="00EA6050"/>
    <w:rsid w:val="00F75766"/>
    <w:rsid w:val="00F759A5"/>
    <w:rsid w:val="00FD5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4D45"/>
  <w15:chartTrackingRefBased/>
  <w15:docId w15:val="{0F99106B-BC29-4380-84B0-08581450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99D"/>
    <w:rPr>
      <w:rFonts w:ascii="Times New Roman" w:hAnsi="Times New Roman" w:cs="Times New Roman"/>
      <w:sz w:val="24"/>
      <w:szCs w:val="24"/>
    </w:rPr>
  </w:style>
  <w:style w:type="character" w:styleId="PlaceholderText">
    <w:name w:val="Placeholder Text"/>
    <w:basedOn w:val="DefaultParagraphFont"/>
    <w:uiPriority w:val="99"/>
    <w:semiHidden/>
    <w:rsid w:val="00FD599D"/>
    <w:rPr>
      <w:color w:val="666666"/>
    </w:rPr>
  </w:style>
  <w:style w:type="paragraph" w:styleId="HTMLPreformatted">
    <w:name w:val="HTML Preformatted"/>
    <w:basedOn w:val="Normal"/>
    <w:link w:val="HTMLPreformattedChar"/>
    <w:uiPriority w:val="99"/>
    <w:semiHidden/>
    <w:unhideWhenUsed/>
    <w:rsid w:val="006558B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58B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1807">
      <w:bodyDiv w:val="1"/>
      <w:marLeft w:val="0"/>
      <w:marRight w:val="0"/>
      <w:marTop w:val="0"/>
      <w:marBottom w:val="0"/>
      <w:divBdr>
        <w:top w:val="none" w:sz="0" w:space="0" w:color="auto"/>
        <w:left w:val="none" w:sz="0" w:space="0" w:color="auto"/>
        <w:bottom w:val="none" w:sz="0" w:space="0" w:color="auto"/>
        <w:right w:val="none" w:sz="0" w:space="0" w:color="auto"/>
      </w:divBdr>
    </w:div>
    <w:div w:id="418257212">
      <w:bodyDiv w:val="1"/>
      <w:marLeft w:val="0"/>
      <w:marRight w:val="0"/>
      <w:marTop w:val="0"/>
      <w:marBottom w:val="0"/>
      <w:divBdr>
        <w:top w:val="none" w:sz="0" w:space="0" w:color="auto"/>
        <w:left w:val="none" w:sz="0" w:space="0" w:color="auto"/>
        <w:bottom w:val="none" w:sz="0" w:space="0" w:color="auto"/>
        <w:right w:val="none" w:sz="0" w:space="0" w:color="auto"/>
      </w:divBdr>
    </w:div>
    <w:div w:id="446701325">
      <w:bodyDiv w:val="1"/>
      <w:marLeft w:val="0"/>
      <w:marRight w:val="0"/>
      <w:marTop w:val="0"/>
      <w:marBottom w:val="0"/>
      <w:divBdr>
        <w:top w:val="none" w:sz="0" w:space="0" w:color="auto"/>
        <w:left w:val="none" w:sz="0" w:space="0" w:color="auto"/>
        <w:bottom w:val="none" w:sz="0" w:space="0" w:color="auto"/>
        <w:right w:val="none" w:sz="0" w:space="0" w:color="auto"/>
      </w:divBdr>
    </w:div>
    <w:div w:id="602539271">
      <w:bodyDiv w:val="1"/>
      <w:marLeft w:val="0"/>
      <w:marRight w:val="0"/>
      <w:marTop w:val="0"/>
      <w:marBottom w:val="0"/>
      <w:divBdr>
        <w:top w:val="none" w:sz="0" w:space="0" w:color="auto"/>
        <w:left w:val="none" w:sz="0" w:space="0" w:color="auto"/>
        <w:bottom w:val="none" w:sz="0" w:space="0" w:color="auto"/>
        <w:right w:val="none" w:sz="0" w:space="0" w:color="auto"/>
      </w:divBdr>
    </w:div>
    <w:div w:id="966282388">
      <w:bodyDiv w:val="1"/>
      <w:marLeft w:val="0"/>
      <w:marRight w:val="0"/>
      <w:marTop w:val="0"/>
      <w:marBottom w:val="0"/>
      <w:divBdr>
        <w:top w:val="none" w:sz="0" w:space="0" w:color="auto"/>
        <w:left w:val="none" w:sz="0" w:space="0" w:color="auto"/>
        <w:bottom w:val="none" w:sz="0" w:space="0" w:color="auto"/>
        <w:right w:val="none" w:sz="0" w:space="0" w:color="auto"/>
      </w:divBdr>
    </w:div>
    <w:div w:id="1212615190">
      <w:bodyDiv w:val="1"/>
      <w:marLeft w:val="0"/>
      <w:marRight w:val="0"/>
      <w:marTop w:val="0"/>
      <w:marBottom w:val="0"/>
      <w:divBdr>
        <w:top w:val="none" w:sz="0" w:space="0" w:color="auto"/>
        <w:left w:val="none" w:sz="0" w:space="0" w:color="auto"/>
        <w:bottom w:val="none" w:sz="0" w:space="0" w:color="auto"/>
        <w:right w:val="none" w:sz="0" w:space="0" w:color="auto"/>
      </w:divBdr>
    </w:div>
    <w:div w:id="1246959252">
      <w:bodyDiv w:val="1"/>
      <w:marLeft w:val="0"/>
      <w:marRight w:val="0"/>
      <w:marTop w:val="0"/>
      <w:marBottom w:val="0"/>
      <w:divBdr>
        <w:top w:val="none" w:sz="0" w:space="0" w:color="auto"/>
        <w:left w:val="none" w:sz="0" w:space="0" w:color="auto"/>
        <w:bottom w:val="none" w:sz="0" w:space="0" w:color="auto"/>
        <w:right w:val="none" w:sz="0" w:space="0" w:color="auto"/>
      </w:divBdr>
      <w:divsChild>
        <w:div w:id="1539590444">
          <w:marLeft w:val="0"/>
          <w:marRight w:val="0"/>
          <w:marTop w:val="0"/>
          <w:marBottom w:val="0"/>
          <w:divBdr>
            <w:top w:val="none" w:sz="0" w:space="0" w:color="auto"/>
            <w:left w:val="none" w:sz="0" w:space="0" w:color="auto"/>
            <w:bottom w:val="none" w:sz="0" w:space="0" w:color="auto"/>
            <w:right w:val="none" w:sz="0" w:space="0" w:color="auto"/>
          </w:divBdr>
          <w:divsChild>
            <w:div w:id="1911846973">
              <w:marLeft w:val="0"/>
              <w:marRight w:val="0"/>
              <w:marTop w:val="0"/>
              <w:marBottom w:val="0"/>
              <w:divBdr>
                <w:top w:val="none" w:sz="0" w:space="0" w:color="auto"/>
                <w:left w:val="none" w:sz="0" w:space="0" w:color="auto"/>
                <w:bottom w:val="none" w:sz="0" w:space="0" w:color="auto"/>
                <w:right w:val="none" w:sz="0" w:space="0" w:color="auto"/>
              </w:divBdr>
              <w:divsChild>
                <w:div w:id="43524962">
                  <w:marLeft w:val="0"/>
                  <w:marRight w:val="0"/>
                  <w:marTop w:val="0"/>
                  <w:marBottom w:val="0"/>
                  <w:divBdr>
                    <w:top w:val="none" w:sz="0" w:space="0" w:color="auto"/>
                    <w:left w:val="none" w:sz="0" w:space="0" w:color="auto"/>
                    <w:bottom w:val="none" w:sz="0" w:space="0" w:color="auto"/>
                    <w:right w:val="none" w:sz="0" w:space="0" w:color="auto"/>
                  </w:divBdr>
                  <w:divsChild>
                    <w:div w:id="1156189492">
                      <w:marLeft w:val="0"/>
                      <w:marRight w:val="0"/>
                      <w:marTop w:val="0"/>
                      <w:marBottom w:val="0"/>
                      <w:divBdr>
                        <w:top w:val="none" w:sz="0" w:space="0" w:color="auto"/>
                        <w:left w:val="none" w:sz="0" w:space="0" w:color="auto"/>
                        <w:bottom w:val="none" w:sz="0" w:space="0" w:color="auto"/>
                        <w:right w:val="none" w:sz="0" w:space="0" w:color="auto"/>
                      </w:divBdr>
                      <w:divsChild>
                        <w:div w:id="1920558132">
                          <w:marLeft w:val="0"/>
                          <w:marRight w:val="0"/>
                          <w:marTop w:val="0"/>
                          <w:marBottom w:val="0"/>
                          <w:divBdr>
                            <w:top w:val="none" w:sz="0" w:space="0" w:color="auto"/>
                            <w:left w:val="none" w:sz="0" w:space="0" w:color="auto"/>
                            <w:bottom w:val="none" w:sz="0" w:space="0" w:color="auto"/>
                            <w:right w:val="none" w:sz="0" w:space="0" w:color="auto"/>
                          </w:divBdr>
                          <w:divsChild>
                            <w:div w:id="18134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044310">
      <w:bodyDiv w:val="1"/>
      <w:marLeft w:val="0"/>
      <w:marRight w:val="0"/>
      <w:marTop w:val="0"/>
      <w:marBottom w:val="0"/>
      <w:divBdr>
        <w:top w:val="none" w:sz="0" w:space="0" w:color="auto"/>
        <w:left w:val="none" w:sz="0" w:space="0" w:color="auto"/>
        <w:bottom w:val="none" w:sz="0" w:space="0" w:color="auto"/>
        <w:right w:val="none" w:sz="0" w:space="0" w:color="auto"/>
      </w:divBdr>
    </w:div>
    <w:div w:id="1957062255">
      <w:bodyDiv w:val="1"/>
      <w:marLeft w:val="0"/>
      <w:marRight w:val="0"/>
      <w:marTop w:val="0"/>
      <w:marBottom w:val="0"/>
      <w:divBdr>
        <w:top w:val="none" w:sz="0" w:space="0" w:color="auto"/>
        <w:left w:val="none" w:sz="0" w:space="0" w:color="auto"/>
        <w:bottom w:val="none" w:sz="0" w:space="0" w:color="auto"/>
        <w:right w:val="none" w:sz="0" w:space="0" w:color="auto"/>
      </w:divBdr>
    </w:div>
    <w:div w:id="2089230823">
      <w:bodyDiv w:val="1"/>
      <w:marLeft w:val="0"/>
      <w:marRight w:val="0"/>
      <w:marTop w:val="0"/>
      <w:marBottom w:val="0"/>
      <w:divBdr>
        <w:top w:val="none" w:sz="0" w:space="0" w:color="auto"/>
        <w:left w:val="none" w:sz="0" w:space="0" w:color="auto"/>
        <w:bottom w:val="none" w:sz="0" w:space="0" w:color="auto"/>
        <w:right w:val="none" w:sz="0" w:space="0" w:color="auto"/>
      </w:divBdr>
      <w:divsChild>
        <w:div w:id="903106449">
          <w:marLeft w:val="0"/>
          <w:marRight w:val="0"/>
          <w:marTop w:val="0"/>
          <w:marBottom w:val="0"/>
          <w:divBdr>
            <w:top w:val="none" w:sz="0" w:space="0" w:color="auto"/>
            <w:left w:val="none" w:sz="0" w:space="0" w:color="auto"/>
            <w:bottom w:val="none" w:sz="0" w:space="0" w:color="auto"/>
            <w:right w:val="none" w:sz="0" w:space="0" w:color="auto"/>
          </w:divBdr>
          <w:divsChild>
            <w:div w:id="1489861919">
              <w:marLeft w:val="0"/>
              <w:marRight w:val="0"/>
              <w:marTop w:val="0"/>
              <w:marBottom w:val="0"/>
              <w:divBdr>
                <w:top w:val="none" w:sz="0" w:space="0" w:color="auto"/>
                <w:left w:val="none" w:sz="0" w:space="0" w:color="auto"/>
                <w:bottom w:val="none" w:sz="0" w:space="0" w:color="auto"/>
                <w:right w:val="none" w:sz="0" w:space="0" w:color="auto"/>
              </w:divBdr>
              <w:divsChild>
                <w:div w:id="2023237463">
                  <w:marLeft w:val="0"/>
                  <w:marRight w:val="0"/>
                  <w:marTop w:val="0"/>
                  <w:marBottom w:val="0"/>
                  <w:divBdr>
                    <w:top w:val="none" w:sz="0" w:space="0" w:color="auto"/>
                    <w:left w:val="none" w:sz="0" w:space="0" w:color="auto"/>
                    <w:bottom w:val="none" w:sz="0" w:space="0" w:color="auto"/>
                    <w:right w:val="none" w:sz="0" w:space="0" w:color="auto"/>
                  </w:divBdr>
                  <w:divsChild>
                    <w:div w:id="559943571">
                      <w:marLeft w:val="0"/>
                      <w:marRight w:val="0"/>
                      <w:marTop w:val="0"/>
                      <w:marBottom w:val="0"/>
                      <w:divBdr>
                        <w:top w:val="none" w:sz="0" w:space="0" w:color="auto"/>
                        <w:left w:val="none" w:sz="0" w:space="0" w:color="auto"/>
                        <w:bottom w:val="none" w:sz="0" w:space="0" w:color="auto"/>
                        <w:right w:val="none" w:sz="0" w:space="0" w:color="auto"/>
                      </w:divBdr>
                      <w:divsChild>
                        <w:div w:id="2047682086">
                          <w:marLeft w:val="0"/>
                          <w:marRight w:val="0"/>
                          <w:marTop w:val="0"/>
                          <w:marBottom w:val="0"/>
                          <w:divBdr>
                            <w:top w:val="none" w:sz="0" w:space="0" w:color="auto"/>
                            <w:left w:val="none" w:sz="0" w:space="0" w:color="auto"/>
                            <w:bottom w:val="none" w:sz="0" w:space="0" w:color="auto"/>
                            <w:right w:val="none" w:sz="0" w:space="0" w:color="auto"/>
                          </w:divBdr>
                          <w:divsChild>
                            <w:div w:id="10970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 Parikh</dc:creator>
  <cp:keywords/>
  <dc:description/>
  <cp:lastModifiedBy>Arni Parikh</cp:lastModifiedBy>
  <cp:revision>3</cp:revision>
  <dcterms:created xsi:type="dcterms:W3CDTF">2024-10-27T18:20:00Z</dcterms:created>
  <dcterms:modified xsi:type="dcterms:W3CDTF">2024-10-27T18:20:00Z</dcterms:modified>
</cp:coreProperties>
</file>