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760C2D" w:rsidRDefault="004A7C21">
      <w:r>
        <w:rPr>
          <w:noProof/>
          <w:lang w:eastAsia="en-CA" w:bidi="he-IL"/>
        </w:rPr>
        <w:drawing>
          <wp:anchor distT="0" distB="0" distL="114300" distR="114300" simplePos="0" relativeHeight="251661312" behindDoc="0" locked="0" layoutInCell="1" allowOverlap="1">
            <wp:simplePos x="0" y="0"/>
            <wp:positionH relativeFrom="column">
              <wp:posOffset>4953000</wp:posOffset>
            </wp:positionH>
            <wp:positionV relativeFrom="paragraph">
              <wp:posOffset>0</wp:posOffset>
            </wp:positionV>
            <wp:extent cx="1124712" cy="1106424"/>
            <wp:effectExtent l="0" t="0" r="0" b="0"/>
            <wp:wrapThrough wrapText="bothSides">
              <wp:wrapPolygon edited="0">
                <wp:start x="9147" y="0"/>
                <wp:lineTo x="6220" y="372"/>
                <wp:lineTo x="366" y="4464"/>
                <wp:lineTo x="0" y="8184"/>
                <wp:lineTo x="0" y="12648"/>
                <wp:lineTo x="1829" y="17855"/>
                <wp:lineTo x="2195" y="18599"/>
                <wp:lineTo x="7684" y="21203"/>
                <wp:lineTo x="9147" y="21203"/>
                <wp:lineTo x="11343" y="21203"/>
                <wp:lineTo x="13172" y="21203"/>
                <wp:lineTo x="18661" y="18599"/>
                <wp:lineTo x="18661" y="17855"/>
                <wp:lineTo x="21222" y="12276"/>
                <wp:lineTo x="20856" y="4464"/>
                <wp:lineTo x="14636" y="372"/>
                <wp:lineTo x="11709" y="0"/>
                <wp:lineTo x="9147" y="0"/>
              </wp:wrapPolygon>
            </wp:wrapThrough>
            <wp:docPr id="3" name="Picture 3" descr="How much progress has the Spokane Police Department made on the DOJ  recommendations? | Blogl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much progress has the Spokane Police Department made on the DOJ  recommendations? | Blogland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4712" cy="11064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702C">
        <w:rPr>
          <w:noProof/>
          <w:lang w:eastAsia="en-CA" w:bidi="he-IL"/>
        </w:rPr>
        <w:drawing>
          <wp:anchor distT="0" distB="0" distL="114300" distR="114300" simplePos="0" relativeHeight="251660288" behindDoc="1" locked="0" layoutInCell="1" allowOverlap="1">
            <wp:simplePos x="0" y="0"/>
            <wp:positionH relativeFrom="column">
              <wp:posOffset>114300</wp:posOffset>
            </wp:positionH>
            <wp:positionV relativeFrom="paragraph">
              <wp:posOffset>407</wp:posOffset>
            </wp:positionV>
            <wp:extent cx="1069848" cy="1124712"/>
            <wp:effectExtent l="0" t="0" r="0" b="0"/>
            <wp:wrapTight wrapText="bothSides">
              <wp:wrapPolygon edited="0">
                <wp:start x="8466" y="0"/>
                <wp:lineTo x="0" y="5123"/>
                <wp:lineTo x="0" y="17197"/>
                <wp:lineTo x="1539" y="18295"/>
                <wp:lineTo x="7311" y="21222"/>
                <wp:lineTo x="8850" y="21222"/>
                <wp:lineTo x="12314" y="21222"/>
                <wp:lineTo x="15777" y="21222"/>
                <wp:lineTo x="19240" y="19392"/>
                <wp:lineTo x="18855" y="17563"/>
                <wp:lineTo x="21164" y="14636"/>
                <wp:lineTo x="21164" y="5123"/>
                <wp:lineTo x="12698" y="0"/>
                <wp:lineTo x="8466" y="0"/>
              </wp:wrapPolygon>
            </wp:wrapTight>
            <wp:docPr id="1" name="Picture 1" descr="Great Seal of the United Stat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at Seal of the United States - Wikipedia"/>
                    <pic:cNvPicPr>
                      <a:picLocks noChangeAspect="1" noChangeArrowheads="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69848" cy="112471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60C2D" w:rsidRPr="004A7C21" w:rsidRDefault="00760C2D" w:rsidP="00E11ADF">
      <w:pPr>
        <w:spacing w:after="0"/>
        <w:jc w:val="center"/>
        <w:rPr>
          <w:rFonts w:ascii="Century Expanded" w:hAnsi="Century Expanded" w:cstheme="majorBidi"/>
          <w:caps/>
          <w:sz w:val="24"/>
          <w:szCs w:val="24"/>
        </w:rPr>
      </w:pPr>
      <w:r w:rsidRPr="004A7C21">
        <w:rPr>
          <w:rFonts w:ascii="Century Expanded" w:hAnsi="Century Expanded"/>
          <w:caps/>
        </w:rPr>
        <w:tab/>
      </w:r>
      <w:r w:rsidR="00E11ADF">
        <w:rPr>
          <w:rFonts w:ascii="Century Expanded" w:hAnsi="Century Expanded" w:cstheme="majorBidi"/>
          <w:caps/>
          <w:sz w:val="24"/>
          <w:szCs w:val="24"/>
        </w:rPr>
        <w:t>Solicitor General</w:t>
      </w:r>
    </w:p>
    <w:p w:rsidR="004A7C21" w:rsidRPr="004A7C21" w:rsidRDefault="00760C2D" w:rsidP="004A7C21">
      <w:pPr>
        <w:spacing w:before="240"/>
        <w:jc w:val="center"/>
        <w:rPr>
          <w:rFonts w:ascii="Century Expanded" w:hAnsi="Century Expanded" w:cstheme="majorBidi"/>
          <w:caps/>
          <w:sz w:val="24"/>
          <w:szCs w:val="24"/>
        </w:rPr>
      </w:pPr>
      <w:r w:rsidRPr="004A7C21">
        <w:rPr>
          <w:rFonts w:ascii="Century Expanded" w:hAnsi="Century Expanded" w:cstheme="majorBidi"/>
          <w:caps/>
          <w:sz w:val="24"/>
          <w:szCs w:val="24"/>
        </w:rPr>
        <w:t>Application Questions</w:t>
      </w:r>
    </w:p>
    <w:p w:rsidR="002C7D22" w:rsidRDefault="002C7D22" w:rsidP="004A7C21">
      <w:pPr>
        <w:tabs>
          <w:tab w:val="left" w:pos="2055"/>
        </w:tabs>
        <w:rPr>
          <w:rFonts w:asciiTheme="majorBidi" w:hAnsiTheme="majorBidi" w:cstheme="majorBidi"/>
          <w:sz w:val="24"/>
          <w:szCs w:val="24"/>
        </w:rPr>
      </w:pPr>
    </w:p>
    <w:p w:rsidR="00E11ADF" w:rsidRPr="00E11ADF" w:rsidRDefault="00E11ADF" w:rsidP="00E11ADF">
      <w:pPr>
        <w:tabs>
          <w:tab w:val="left" w:pos="2055"/>
        </w:tabs>
        <w:rPr>
          <w:rFonts w:asciiTheme="majorBidi" w:hAnsiTheme="majorBidi" w:cstheme="majorBidi"/>
          <w:sz w:val="24"/>
          <w:szCs w:val="24"/>
        </w:rPr>
      </w:pPr>
    </w:p>
    <w:p w:rsidR="00E11ADF" w:rsidRPr="00E11ADF" w:rsidRDefault="00E11ADF" w:rsidP="00E11ADF">
      <w:pPr>
        <w:pStyle w:val="ListParagraph"/>
        <w:numPr>
          <w:ilvl w:val="0"/>
          <w:numId w:val="2"/>
        </w:numPr>
        <w:tabs>
          <w:tab w:val="left" w:pos="2055"/>
        </w:tabs>
        <w:rPr>
          <w:rFonts w:ascii="Century Expanded" w:hAnsi="Century Expanded" w:cstheme="majorBidi"/>
          <w:sz w:val="24"/>
          <w:szCs w:val="24"/>
        </w:rPr>
      </w:pPr>
      <w:r w:rsidRPr="00E11ADF">
        <w:rPr>
          <w:rFonts w:ascii="Century Expanded" w:hAnsi="Century Expanded" w:cstheme="majorBidi"/>
          <w:sz w:val="24"/>
          <w:szCs w:val="24"/>
        </w:rPr>
        <w:t xml:space="preserve">Briefly describe the extent of your in-court litigation experience, with specific reference to your role if you were a part of the team. If you have argued in the Supreme Court of the United States, list the cases you have argued in and your role in them. Additionally, discuss any other notable experiences that may benefit you in this position or within the legal realm. </w:t>
      </w:r>
    </w:p>
    <w:p w:rsidR="00E11ADF" w:rsidRPr="00E11ADF" w:rsidRDefault="00E11ADF" w:rsidP="00E11ADF">
      <w:pPr>
        <w:tabs>
          <w:tab w:val="left" w:pos="2055"/>
        </w:tabs>
        <w:rPr>
          <w:rFonts w:ascii="Century Expanded" w:hAnsi="Century Expanded" w:cstheme="majorBidi"/>
          <w:sz w:val="24"/>
          <w:szCs w:val="24"/>
        </w:rPr>
      </w:pPr>
    </w:p>
    <w:p w:rsidR="00E11ADF" w:rsidRPr="00E11ADF" w:rsidRDefault="00E11ADF" w:rsidP="00E11ADF">
      <w:pPr>
        <w:pStyle w:val="ListParagraph"/>
        <w:numPr>
          <w:ilvl w:val="0"/>
          <w:numId w:val="2"/>
        </w:numPr>
        <w:tabs>
          <w:tab w:val="left" w:pos="2055"/>
        </w:tabs>
        <w:rPr>
          <w:rFonts w:ascii="Century Expanded" w:hAnsi="Century Expanded" w:cstheme="majorBidi"/>
          <w:sz w:val="24"/>
          <w:szCs w:val="24"/>
        </w:rPr>
      </w:pPr>
      <w:r w:rsidRPr="00E11ADF">
        <w:rPr>
          <w:rFonts w:ascii="Century Expanded" w:hAnsi="Century Expanded" w:cstheme="majorBidi"/>
          <w:sz w:val="24"/>
          <w:szCs w:val="24"/>
        </w:rPr>
        <w:t>Are you a current member of the Supreme Cour</w:t>
      </w:r>
      <w:r>
        <w:rPr>
          <w:rFonts w:ascii="Century Expanded" w:hAnsi="Century Expanded" w:cstheme="majorBidi"/>
          <w:sz w:val="24"/>
          <w:szCs w:val="24"/>
        </w:rPr>
        <w:t>t Bar? If so, please link your T</w:t>
      </w:r>
      <w:r w:rsidRPr="00E11ADF">
        <w:rPr>
          <w:rFonts w:ascii="Century Expanded" w:hAnsi="Century Expanded" w:cstheme="majorBidi"/>
          <w:sz w:val="24"/>
          <w:szCs w:val="24"/>
        </w:rPr>
        <w:t xml:space="preserve">rello card on the Supreme Court Bar. </w:t>
      </w:r>
    </w:p>
    <w:p w:rsidR="00E11ADF" w:rsidRPr="00E11ADF" w:rsidRDefault="00E11ADF" w:rsidP="00E11ADF">
      <w:pPr>
        <w:tabs>
          <w:tab w:val="left" w:pos="2055"/>
        </w:tabs>
        <w:rPr>
          <w:rFonts w:ascii="Century Expanded" w:hAnsi="Century Expanded" w:cstheme="majorBidi"/>
          <w:sz w:val="24"/>
          <w:szCs w:val="24"/>
        </w:rPr>
      </w:pPr>
    </w:p>
    <w:p w:rsidR="00E11ADF" w:rsidRPr="00E11ADF" w:rsidRDefault="00E11ADF" w:rsidP="00E11ADF">
      <w:pPr>
        <w:pStyle w:val="ListParagraph"/>
        <w:numPr>
          <w:ilvl w:val="0"/>
          <w:numId w:val="2"/>
        </w:numPr>
        <w:tabs>
          <w:tab w:val="left" w:pos="2055"/>
        </w:tabs>
        <w:rPr>
          <w:rFonts w:ascii="Century Expanded" w:hAnsi="Century Expanded" w:cstheme="majorBidi"/>
          <w:sz w:val="24"/>
          <w:szCs w:val="24"/>
        </w:rPr>
      </w:pPr>
      <w:r w:rsidRPr="00E11ADF">
        <w:rPr>
          <w:rFonts w:ascii="Century Expanded" w:hAnsi="Century Expanded" w:cstheme="majorBidi"/>
          <w:sz w:val="24"/>
          <w:szCs w:val="24"/>
        </w:rPr>
        <w:t>How important is precedent? What role does it play in the disposition of cases before the Court?</w:t>
      </w:r>
    </w:p>
    <w:p w:rsidR="00E11ADF" w:rsidRPr="00E11ADF" w:rsidRDefault="00E11ADF" w:rsidP="00E11ADF">
      <w:pPr>
        <w:tabs>
          <w:tab w:val="left" w:pos="2055"/>
        </w:tabs>
        <w:rPr>
          <w:rFonts w:ascii="Century Expanded" w:hAnsi="Century Expanded" w:cstheme="majorBidi"/>
          <w:sz w:val="24"/>
          <w:szCs w:val="24"/>
        </w:rPr>
      </w:pPr>
    </w:p>
    <w:p w:rsidR="00E11ADF" w:rsidRPr="00E11ADF" w:rsidRDefault="00E11ADF" w:rsidP="00E11ADF">
      <w:pPr>
        <w:pStyle w:val="ListParagraph"/>
        <w:numPr>
          <w:ilvl w:val="0"/>
          <w:numId w:val="2"/>
        </w:numPr>
        <w:tabs>
          <w:tab w:val="left" w:pos="2055"/>
        </w:tabs>
        <w:rPr>
          <w:rFonts w:ascii="Century Expanded" w:hAnsi="Century Expanded" w:cstheme="majorBidi"/>
          <w:sz w:val="24"/>
          <w:szCs w:val="24"/>
        </w:rPr>
      </w:pPr>
      <w:r w:rsidRPr="00E11ADF">
        <w:rPr>
          <w:rFonts w:ascii="Century Expanded" w:hAnsi="Century Expanded" w:cstheme="majorBidi"/>
          <w:sz w:val="24"/>
          <w:szCs w:val="24"/>
        </w:rPr>
        <w:t xml:space="preserve">Briefly explain the doctrine of Sovereign Immunity &amp; why it is relevant to civil litigation. </w:t>
      </w:r>
    </w:p>
    <w:p w:rsidR="00E11ADF" w:rsidRPr="00E11ADF" w:rsidRDefault="00E11ADF" w:rsidP="00E11ADF">
      <w:pPr>
        <w:tabs>
          <w:tab w:val="left" w:pos="2055"/>
        </w:tabs>
        <w:rPr>
          <w:rFonts w:ascii="Century Expanded" w:hAnsi="Century Expanded" w:cstheme="majorBidi"/>
          <w:sz w:val="24"/>
          <w:szCs w:val="24"/>
        </w:rPr>
      </w:pPr>
    </w:p>
    <w:p w:rsidR="00E11ADF" w:rsidRPr="00E11ADF" w:rsidRDefault="00E11ADF" w:rsidP="00E11ADF">
      <w:pPr>
        <w:pStyle w:val="ListParagraph"/>
        <w:numPr>
          <w:ilvl w:val="0"/>
          <w:numId w:val="2"/>
        </w:numPr>
        <w:tabs>
          <w:tab w:val="left" w:pos="2055"/>
        </w:tabs>
        <w:rPr>
          <w:rFonts w:ascii="Century Expanded" w:hAnsi="Century Expanded" w:cstheme="majorBidi"/>
          <w:sz w:val="24"/>
          <w:szCs w:val="24"/>
        </w:rPr>
      </w:pPr>
      <w:r w:rsidRPr="00E11ADF">
        <w:rPr>
          <w:rFonts w:ascii="Century Expanded" w:hAnsi="Century Expanded" w:cstheme="majorBidi"/>
          <w:sz w:val="24"/>
          <w:szCs w:val="24"/>
        </w:rPr>
        <w:t xml:space="preserve">Briefly summarize what the court held in </w:t>
      </w:r>
      <w:r w:rsidRPr="00E11ADF">
        <w:rPr>
          <w:rFonts w:ascii="Century Expanded" w:hAnsi="Century Expanded" w:cstheme="majorBidi"/>
          <w:i/>
          <w:iCs/>
          <w:sz w:val="24"/>
          <w:szCs w:val="24"/>
        </w:rPr>
        <w:t>United States</w:t>
      </w:r>
      <w:r w:rsidRPr="00E11ADF">
        <w:rPr>
          <w:rFonts w:ascii="Century Expanded" w:hAnsi="Century Expanded" w:cstheme="majorBidi"/>
          <w:sz w:val="24"/>
          <w:szCs w:val="24"/>
        </w:rPr>
        <w:t xml:space="preserve"> v. </w:t>
      </w:r>
      <w:r w:rsidRPr="00E11ADF">
        <w:rPr>
          <w:rFonts w:ascii="Century Expanded" w:hAnsi="Century Expanded" w:cstheme="majorBidi"/>
          <w:i/>
          <w:iCs/>
          <w:sz w:val="24"/>
          <w:szCs w:val="24"/>
        </w:rPr>
        <w:t>AlexJCabot</w:t>
      </w:r>
      <w:r w:rsidRPr="00E11ADF">
        <w:rPr>
          <w:rFonts w:ascii="Century Expanded" w:hAnsi="Century Expanded" w:cstheme="majorBidi"/>
          <w:sz w:val="24"/>
          <w:szCs w:val="24"/>
        </w:rPr>
        <w:t>, 10 U. S. ___ (2020</w:t>
      </w:r>
      <w:r w:rsidRPr="00E11ADF">
        <w:rPr>
          <w:rFonts w:ascii="Century Expanded" w:hAnsi="Century Expanded" w:cstheme="majorBidi"/>
          <w:sz w:val="24"/>
          <w:szCs w:val="24"/>
        </w:rPr>
        <w:t>) and</w:t>
      </w:r>
      <w:r w:rsidRPr="00E11ADF">
        <w:rPr>
          <w:rFonts w:ascii="Century Expanded" w:hAnsi="Century Expanded" w:cstheme="majorBidi"/>
          <w:sz w:val="24"/>
          <w:szCs w:val="24"/>
        </w:rPr>
        <w:t xml:space="preserve"> discuss how this applies to the application of Federal Law throughout the nation.  https://scotusrbx.github.io/09-29.pdf  </w:t>
      </w:r>
    </w:p>
    <w:p w:rsidR="00E11ADF" w:rsidRPr="00E11ADF" w:rsidRDefault="00E11ADF" w:rsidP="00E11ADF">
      <w:pPr>
        <w:tabs>
          <w:tab w:val="left" w:pos="2055"/>
        </w:tabs>
        <w:rPr>
          <w:rFonts w:ascii="Century Expanded" w:hAnsi="Century Expanded" w:cstheme="majorBidi"/>
          <w:sz w:val="24"/>
          <w:szCs w:val="24"/>
        </w:rPr>
      </w:pPr>
    </w:p>
    <w:p w:rsidR="00E11ADF" w:rsidRPr="00E11ADF" w:rsidRDefault="00E11ADF" w:rsidP="00E11ADF">
      <w:pPr>
        <w:pStyle w:val="ListParagraph"/>
        <w:numPr>
          <w:ilvl w:val="0"/>
          <w:numId w:val="2"/>
        </w:numPr>
        <w:tabs>
          <w:tab w:val="left" w:pos="2055"/>
        </w:tabs>
        <w:rPr>
          <w:rFonts w:ascii="Century Expanded" w:hAnsi="Century Expanded" w:cstheme="majorBidi"/>
          <w:sz w:val="24"/>
          <w:szCs w:val="24"/>
        </w:rPr>
      </w:pPr>
      <w:r w:rsidRPr="00E11ADF">
        <w:rPr>
          <w:rFonts w:ascii="Century Expanded" w:hAnsi="Century Expanded" w:cstheme="majorBidi"/>
          <w:sz w:val="24"/>
          <w:szCs w:val="24"/>
        </w:rPr>
        <w:t xml:space="preserve">Briefly summarize what the court held in </w:t>
      </w:r>
      <w:r w:rsidRPr="00E11ADF">
        <w:rPr>
          <w:rFonts w:ascii="Century Expanded" w:hAnsi="Century Expanded" w:cstheme="majorBidi"/>
          <w:i/>
          <w:iCs/>
          <w:sz w:val="24"/>
          <w:szCs w:val="24"/>
        </w:rPr>
        <w:t>Hamilton</w:t>
      </w:r>
      <w:r w:rsidRPr="00E11ADF">
        <w:rPr>
          <w:rFonts w:ascii="Century Expanded" w:hAnsi="Century Expanded" w:cstheme="majorBidi"/>
          <w:sz w:val="24"/>
          <w:szCs w:val="24"/>
        </w:rPr>
        <w:t xml:space="preserve"> v. </w:t>
      </w:r>
      <w:r w:rsidRPr="00E11ADF">
        <w:rPr>
          <w:rFonts w:ascii="Century Expanded" w:hAnsi="Century Expanded" w:cstheme="majorBidi"/>
          <w:i/>
          <w:iCs/>
          <w:sz w:val="24"/>
          <w:szCs w:val="24"/>
        </w:rPr>
        <w:t>United States</w:t>
      </w:r>
      <w:r w:rsidRPr="00E11ADF">
        <w:rPr>
          <w:rFonts w:ascii="Century Expanded" w:hAnsi="Century Expanded" w:cstheme="majorBidi"/>
          <w:sz w:val="24"/>
          <w:szCs w:val="24"/>
        </w:rPr>
        <w:t xml:space="preserve">, 9 U. S. 202 (2020)  </w:t>
      </w:r>
    </w:p>
    <w:p w:rsidR="00E11ADF" w:rsidRPr="00E11ADF" w:rsidRDefault="00E11ADF" w:rsidP="00E11ADF">
      <w:pPr>
        <w:tabs>
          <w:tab w:val="left" w:pos="2055"/>
        </w:tabs>
        <w:rPr>
          <w:rFonts w:ascii="Century Expanded" w:hAnsi="Century Expanded" w:cstheme="majorBidi"/>
          <w:sz w:val="24"/>
          <w:szCs w:val="24"/>
        </w:rPr>
      </w:pPr>
    </w:p>
    <w:p w:rsidR="00E11ADF" w:rsidRPr="00E11ADF" w:rsidRDefault="00E11ADF" w:rsidP="00E11ADF">
      <w:pPr>
        <w:pStyle w:val="ListParagraph"/>
        <w:numPr>
          <w:ilvl w:val="0"/>
          <w:numId w:val="2"/>
        </w:numPr>
        <w:tabs>
          <w:tab w:val="left" w:pos="2055"/>
        </w:tabs>
        <w:rPr>
          <w:rFonts w:ascii="Century Expanded" w:hAnsi="Century Expanded" w:cstheme="majorBidi"/>
          <w:sz w:val="24"/>
          <w:szCs w:val="24"/>
        </w:rPr>
      </w:pPr>
      <w:r w:rsidRPr="00E11ADF">
        <w:rPr>
          <w:rFonts w:ascii="Century Expanded" w:hAnsi="Century Expanded" w:cstheme="majorBidi"/>
          <w:sz w:val="24"/>
          <w:szCs w:val="24"/>
        </w:rPr>
        <w:t>What are the lawful restrictions on judges when issuing contempt of court citations and punishments? Do you believe additional restrictions and guidelines need to be placed on judges' contempt of court citations and punishment? Why or Why not? You may refer to NUSA precedents, or real law.</w:t>
      </w:r>
    </w:p>
    <w:p w:rsidR="00E11ADF" w:rsidRPr="00E11ADF" w:rsidRDefault="00E11ADF" w:rsidP="00E11ADF">
      <w:pPr>
        <w:tabs>
          <w:tab w:val="left" w:pos="2055"/>
        </w:tabs>
        <w:rPr>
          <w:rFonts w:ascii="Century Expanded" w:hAnsi="Century Expanded" w:cstheme="majorBidi"/>
          <w:sz w:val="24"/>
          <w:szCs w:val="24"/>
        </w:rPr>
      </w:pPr>
    </w:p>
    <w:p w:rsidR="00E11ADF" w:rsidRPr="00E11ADF" w:rsidRDefault="00E11ADF" w:rsidP="00E11ADF">
      <w:pPr>
        <w:pStyle w:val="ListParagraph"/>
        <w:numPr>
          <w:ilvl w:val="0"/>
          <w:numId w:val="2"/>
        </w:numPr>
        <w:tabs>
          <w:tab w:val="left" w:pos="2055"/>
        </w:tabs>
        <w:rPr>
          <w:rFonts w:ascii="Century Expanded" w:hAnsi="Century Expanded" w:cstheme="majorBidi"/>
          <w:sz w:val="24"/>
          <w:szCs w:val="24"/>
        </w:rPr>
      </w:pPr>
      <w:r w:rsidRPr="00E11ADF">
        <w:rPr>
          <w:rFonts w:ascii="Century Expanded" w:hAnsi="Century Expanded" w:cstheme="majorBidi"/>
          <w:sz w:val="24"/>
          <w:szCs w:val="24"/>
        </w:rPr>
        <w:lastRenderedPageBreak/>
        <w:t xml:space="preserve">Briefly summarize what the court held in </w:t>
      </w:r>
      <w:r w:rsidRPr="00E11ADF">
        <w:rPr>
          <w:rFonts w:ascii="Century Expanded" w:hAnsi="Century Expanded" w:cstheme="majorBidi"/>
          <w:i/>
          <w:iCs/>
          <w:sz w:val="24"/>
          <w:szCs w:val="24"/>
        </w:rPr>
        <w:t>Technozo</w:t>
      </w:r>
      <w:r w:rsidRPr="00E11ADF">
        <w:rPr>
          <w:rFonts w:ascii="Century Expanded" w:hAnsi="Century Expanded" w:cstheme="majorBidi"/>
          <w:sz w:val="24"/>
          <w:szCs w:val="24"/>
        </w:rPr>
        <w:t xml:space="preserve"> v. </w:t>
      </w:r>
      <w:r w:rsidRPr="00E11ADF">
        <w:rPr>
          <w:rFonts w:ascii="Century Expanded" w:hAnsi="Century Expanded" w:cstheme="majorBidi"/>
          <w:i/>
          <w:iCs/>
          <w:sz w:val="24"/>
          <w:szCs w:val="24"/>
        </w:rPr>
        <w:t>United</w:t>
      </w:r>
      <w:r w:rsidRPr="00E11ADF">
        <w:rPr>
          <w:rFonts w:ascii="Century Expanded" w:hAnsi="Century Expanded" w:cstheme="majorBidi"/>
          <w:sz w:val="24"/>
          <w:szCs w:val="24"/>
        </w:rPr>
        <w:t xml:space="preserve"> </w:t>
      </w:r>
      <w:r w:rsidRPr="00E11ADF">
        <w:rPr>
          <w:rFonts w:ascii="Century Expanded" w:hAnsi="Century Expanded" w:cstheme="majorBidi"/>
          <w:i/>
          <w:iCs/>
          <w:sz w:val="24"/>
          <w:szCs w:val="24"/>
        </w:rPr>
        <w:t>States</w:t>
      </w:r>
      <w:r w:rsidRPr="00E11ADF">
        <w:rPr>
          <w:rFonts w:ascii="Century Expanded" w:hAnsi="Century Expanded" w:cstheme="majorBidi"/>
          <w:sz w:val="24"/>
          <w:szCs w:val="24"/>
        </w:rPr>
        <w:t xml:space="preserve">, 5 U. S. 64 (2018) (Found in Bound Volume 6) and when Clan Management immunity applies. https://scotusrbx.github.io/BV/6.pdf </w:t>
      </w:r>
    </w:p>
    <w:p w:rsidR="00E11ADF" w:rsidRPr="00E11ADF" w:rsidRDefault="00E11ADF" w:rsidP="00E11ADF">
      <w:pPr>
        <w:tabs>
          <w:tab w:val="left" w:pos="2055"/>
        </w:tabs>
        <w:rPr>
          <w:rFonts w:ascii="Century Expanded" w:hAnsi="Century Expanded" w:cstheme="majorBidi"/>
          <w:sz w:val="24"/>
          <w:szCs w:val="24"/>
        </w:rPr>
      </w:pPr>
    </w:p>
    <w:p w:rsidR="00E11ADF" w:rsidRPr="00E11ADF" w:rsidRDefault="00E11ADF" w:rsidP="00E11ADF">
      <w:pPr>
        <w:pStyle w:val="ListParagraph"/>
        <w:numPr>
          <w:ilvl w:val="0"/>
          <w:numId w:val="2"/>
        </w:numPr>
        <w:tabs>
          <w:tab w:val="left" w:pos="2055"/>
        </w:tabs>
        <w:rPr>
          <w:rFonts w:ascii="Century Expanded" w:hAnsi="Century Expanded" w:cstheme="majorBidi"/>
          <w:sz w:val="24"/>
          <w:szCs w:val="24"/>
        </w:rPr>
      </w:pPr>
      <w:r w:rsidRPr="00E11ADF">
        <w:rPr>
          <w:rFonts w:ascii="Century Expanded" w:hAnsi="Century Expanded" w:cstheme="majorBidi"/>
          <w:sz w:val="24"/>
          <w:szCs w:val="24"/>
        </w:rPr>
        <w:t>Discuss how the Department of Justice may seek arrest warrants on groups. It is recommended you discuss United States v. TPR, 5 U.S. 30 (2018) and how the court has defined and expanded on its power to issue Group-Arrest Warrants derived from U.S. Const. Art. III, § 5, cl. 3 in  United States v. TPR, 5 U.S. 30 (2018)</w:t>
      </w:r>
    </w:p>
    <w:p w:rsidR="00E11ADF" w:rsidRPr="00E11ADF" w:rsidRDefault="00E11ADF" w:rsidP="00E11ADF">
      <w:pPr>
        <w:tabs>
          <w:tab w:val="left" w:pos="2055"/>
        </w:tabs>
        <w:rPr>
          <w:rFonts w:ascii="Century Expanded" w:hAnsi="Century Expanded" w:cstheme="majorBidi"/>
          <w:sz w:val="24"/>
          <w:szCs w:val="24"/>
        </w:rPr>
      </w:pPr>
    </w:p>
    <w:p w:rsidR="00E11ADF" w:rsidRPr="00E11ADF" w:rsidRDefault="00E11ADF" w:rsidP="00E11ADF">
      <w:pPr>
        <w:pStyle w:val="ListParagraph"/>
        <w:numPr>
          <w:ilvl w:val="0"/>
          <w:numId w:val="2"/>
        </w:numPr>
        <w:tabs>
          <w:tab w:val="left" w:pos="2055"/>
        </w:tabs>
        <w:rPr>
          <w:rFonts w:ascii="Century Expanded" w:hAnsi="Century Expanded" w:cstheme="majorBidi"/>
          <w:sz w:val="24"/>
          <w:szCs w:val="24"/>
        </w:rPr>
      </w:pPr>
      <w:r w:rsidRPr="00E11ADF">
        <w:rPr>
          <w:rFonts w:ascii="Century Expanded" w:hAnsi="Century Expanded" w:cstheme="majorBidi"/>
          <w:sz w:val="24"/>
          <w:szCs w:val="24"/>
        </w:rPr>
        <w:t xml:space="preserve">The Supreme Court’s involvement in impeachments is a controversial topic within the entire community. Do you agree with the court’s approach to impeachment? You may discuss your opinion with both NUSA precedents and real-life precedent. </w:t>
      </w:r>
    </w:p>
    <w:p w:rsidR="00E11ADF" w:rsidRPr="00E11ADF" w:rsidRDefault="00E11ADF" w:rsidP="00E11ADF">
      <w:pPr>
        <w:tabs>
          <w:tab w:val="left" w:pos="2055"/>
        </w:tabs>
        <w:rPr>
          <w:rFonts w:ascii="Century Expanded" w:hAnsi="Century Expanded" w:cstheme="majorBidi"/>
          <w:sz w:val="24"/>
          <w:szCs w:val="24"/>
        </w:rPr>
      </w:pPr>
    </w:p>
    <w:p w:rsidR="00E11ADF" w:rsidRPr="00E11ADF" w:rsidRDefault="00E11ADF" w:rsidP="00E11ADF">
      <w:pPr>
        <w:pStyle w:val="ListParagraph"/>
        <w:numPr>
          <w:ilvl w:val="0"/>
          <w:numId w:val="2"/>
        </w:numPr>
        <w:tabs>
          <w:tab w:val="left" w:pos="2055"/>
        </w:tabs>
        <w:rPr>
          <w:rFonts w:ascii="Century Expanded" w:hAnsi="Century Expanded" w:cstheme="majorBidi"/>
          <w:sz w:val="24"/>
          <w:szCs w:val="24"/>
        </w:rPr>
      </w:pPr>
      <w:r w:rsidRPr="00E11ADF">
        <w:rPr>
          <w:rFonts w:ascii="Century Expanded" w:hAnsi="Century Expanded" w:cstheme="majorBidi"/>
          <w:sz w:val="24"/>
          <w:szCs w:val="24"/>
        </w:rPr>
        <w:t>The State and County of Ridgeway -- a new state admitted to the Union, once released will have a fully functioning County Court. What are your thoughts regarding this issue, and how will you tackle the problem of lack of cases in the Federal Courts and the disinterest in a Federal Assistant US Attorney position?</w:t>
      </w:r>
    </w:p>
    <w:p w:rsidR="00E11ADF" w:rsidRPr="00E11ADF" w:rsidRDefault="00E11ADF" w:rsidP="00E11ADF">
      <w:pPr>
        <w:tabs>
          <w:tab w:val="left" w:pos="2055"/>
        </w:tabs>
        <w:rPr>
          <w:rFonts w:ascii="Century Expanded" w:hAnsi="Century Expanded" w:cstheme="majorBidi"/>
          <w:sz w:val="24"/>
          <w:szCs w:val="24"/>
        </w:rPr>
      </w:pPr>
    </w:p>
    <w:p w:rsidR="004A7C21" w:rsidRPr="00E11ADF" w:rsidRDefault="00E11ADF" w:rsidP="00E11ADF">
      <w:pPr>
        <w:pStyle w:val="ListParagraph"/>
        <w:numPr>
          <w:ilvl w:val="0"/>
          <w:numId w:val="2"/>
        </w:numPr>
        <w:tabs>
          <w:tab w:val="left" w:pos="2055"/>
        </w:tabs>
        <w:rPr>
          <w:rFonts w:ascii="Century Expanded" w:hAnsi="Century Expanded" w:cstheme="majorBidi"/>
          <w:sz w:val="24"/>
          <w:szCs w:val="24"/>
        </w:rPr>
      </w:pPr>
      <w:r w:rsidRPr="00E11ADF">
        <w:rPr>
          <w:rFonts w:ascii="Century Expanded" w:hAnsi="Century Expanded" w:cstheme="majorBidi"/>
          <w:sz w:val="24"/>
          <w:szCs w:val="24"/>
        </w:rPr>
        <w:t xml:space="preserve">Describe the Federal Government’s jurisdiction to operate in Ridgeway. Can Federal Law Enforcement legally operate and enforce federal law in Ridgeway? Does the court’s decision in </w:t>
      </w:r>
      <w:r w:rsidRPr="00E11ADF">
        <w:rPr>
          <w:rFonts w:ascii="Century Expanded" w:hAnsi="Century Expanded" w:cstheme="majorBidi"/>
          <w:i/>
          <w:iCs/>
          <w:sz w:val="24"/>
          <w:szCs w:val="24"/>
        </w:rPr>
        <w:t>In Re Ridgeway Courts Amendment</w:t>
      </w:r>
      <w:r w:rsidRPr="00E11ADF">
        <w:rPr>
          <w:rFonts w:ascii="Century Expanded" w:hAnsi="Century Expanded" w:cstheme="majorBidi"/>
          <w:sz w:val="24"/>
          <w:szCs w:val="24"/>
        </w:rPr>
        <w:t xml:space="preserve">, 9 U. S. 173 (2020) and </w:t>
      </w:r>
      <w:r w:rsidRPr="00E11ADF">
        <w:rPr>
          <w:rFonts w:ascii="Century Expanded" w:hAnsi="Century Expanded" w:cstheme="majorBidi"/>
          <w:i/>
          <w:iCs/>
          <w:sz w:val="24"/>
          <w:szCs w:val="24"/>
        </w:rPr>
        <w:t>United States</w:t>
      </w:r>
      <w:r w:rsidRPr="00E11ADF">
        <w:rPr>
          <w:rFonts w:ascii="Century Expanded" w:hAnsi="Century Expanded" w:cstheme="majorBidi"/>
          <w:sz w:val="24"/>
          <w:szCs w:val="24"/>
        </w:rPr>
        <w:t xml:space="preserve"> v. </w:t>
      </w:r>
      <w:bookmarkStart w:id="0" w:name="_GoBack"/>
      <w:r w:rsidRPr="00E11ADF">
        <w:rPr>
          <w:rFonts w:ascii="Century Expanded" w:hAnsi="Century Expanded" w:cstheme="majorBidi"/>
          <w:i/>
          <w:iCs/>
          <w:sz w:val="24"/>
          <w:szCs w:val="24"/>
        </w:rPr>
        <w:t>Cabot</w:t>
      </w:r>
      <w:r w:rsidRPr="00E11ADF">
        <w:rPr>
          <w:rFonts w:ascii="Century Expanded" w:hAnsi="Century Expanded" w:cstheme="majorBidi"/>
          <w:sz w:val="24"/>
          <w:szCs w:val="24"/>
        </w:rPr>
        <w:t xml:space="preserve"> </w:t>
      </w:r>
      <w:bookmarkEnd w:id="0"/>
      <w:r w:rsidRPr="00E11ADF">
        <w:rPr>
          <w:rFonts w:ascii="Century Expanded" w:hAnsi="Century Expanded" w:cstheme="majorBidi"/>
          <w:sz w:val="24"/>
          <w:szCs w:val="24"/>
        </w:rPr>
        <w:t>10 U. S. ___ (2020)</w:t>
      </w:r>
    </w:p>
    <w:sectPr w:rsidR="004A7C21" w:rsidRPr="00E11A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Expanded">
    <w:altName w:val="Century"/>
    <w:panose1 w:val="00000000000000000000"/>
    <w:charset w:val="00"/>
    <w:family w:val="roman"/>
    <w:notTrueType/>
    <w:pitch w:val="variable"/>
    <w:sig w:usb0="8000002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C2331"/>
    <w:multiLevelType w:val="hybridMultilevel"/>
    <w:tmpl w:val="F92A6A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917AB7"/>
    <w:multiLevelType w:val="hybridMultilevel"/>
    <w:tmpl w:val="398E63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DC"/>
    <w:rsid w:val="002C7D22"/>
    <w:rsid w:val="00325FDC"/>
    <w:rsid w:val="004A7C21"/>
    <w:rsid w:val="00760C2D"/>
    <w:rsid w:val="00847DB3"/>
    <w:rsid w:val="00890EA3"/>
    <w:rsid w:val="008F00F5"/>
    <w:rsid w:val="00E11ADF"/>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97180-81EB-4E7B-8B2A-A45A885B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841">
      <w:bodyDiv w:val="1"/>
      <w:marLeft w:val="0"/>
      <w:marRight w:val="0"/>
      <w:marTop w:val="0"/>
      <w:marBottom w:val="0"/>
      <w:divBdr>
        <w:top w:val="none" w:sz="0" w:space="0" w:color="auto"/>
        <w:left w:val="none" w:sz="0" w:space="0" w:color="auto"/>
        <w:bottom w:val="none" w:sz="0" w:space="0" w:color="auto"/>
        <w:right w:val="none" w:sz="0" w:space="0" w:color="auto"/>
      </w:divBdr>
    </w:div>
    <w:div w:id="180825340">
      <w:bodyDiv w:val="1"/>
      <w:marLeft w:val="0"/>
      <w:marRight w:val="0"/>
      <w:marTop w:val="0"/>
      <w:marBottom w:val="0"/>
      <w:divBdr>
        <w:top w:val="none" w:sz="0" w:space="0" w:color="auto"/>
        <w:left w:val="none" w:sz="0" w:space="0" w:color="auto"/>
        <w:bottom w:val="none" w:sz="0" w:space="0" w:color="auto"/>
        <w:right w:val="none" w:sz="0" w:space="0" w:color="auto"/>
      </w:divBdr>
    </w:div>
    <w:div w:id="52772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5</cp:revision>
  <dcterms:created xsi:type="dcterms:W3CDTF">2020-11-11T21:38:00Z</dcterms:created>
  <dcterms:modified xsi:type="dcterms:W3CDTF">2020-11-11T22:26:00Z</dcterms:modified>
</cp:coreProperties>
</file>