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color w:val="1A5376"/>
          <w:sz w:val="32"/>
        </w:rPr>
        <w:t>TOD-SciBERT: Domain-Adaptive Pre-Training of a Scientific Language Model for Transit-Oriented Development Research</w:t>
      </w:r>
    </w:p>
    <w:p>
      <w:pPr>
        <w:spacing w:after="360"/>
        <w:jc w:val="center"/>
      </w:pPr>
      <w:r>
        <w:rPr>
          <w:sz w:val="22"/>
        </w:rPr>
        <w:t>[Author Names Redacted for Review]</w:t>
      </w:r>
    </w:p>
    <w:p>
      <w:pPr>
        <w:pStyle w:val="Heading1"/>
        <w:spacing w:before="240" w:after="120"/>
      </w:pPr>
      <w:r>
        <w:rPr>
          <w:rFonts w:ascii="Times New Roman" w:hAnsi="Times New Roman"/>
          <w:b/>
          <w:color w:val="1A5376"/>
          <w:sz w:val="26"/>
        </w:rPr>
        <w:t>Highlights</w:t>
      </w:r>
    </w:p>
    <w:p>
      <w:pPr>
        <w:pStyle w:val="ListBullet"/>
        <w:ind w:firstLine="0"/>
      </w:pPr>
      <w:r>
        <w:rPr>
          <w:sz w:val="22"/>
        </w:rPr>
        <w:t>First language model domain-adapted specifically to TOD research literature</w:t>
      </w:r>
    </w:p>
    <w:p>
      <w:pPr>
        <w:pStyle w:val="ListBullet"/>
        <w:ind w:firstLine="0"/>
      </w:pPr>
      <w:r>
        <w:rPr>
          <w:sz w:val="22"/>
        </w:rPr>
        <w:t>37.3% reduction in perplexity over SciBERT baseline on TOD domain text</w:t>
      </w:r>
    </w:p>
    <w:p>
      <w:pPr>
        <w:pStyle w:val="ListBullet"/>
        <w:ind w:firstLine="0"/>
      </w:pPr>
      <w:r>
        <w:rPr>
          <w:sz w:val="22"/>
        </w:rPr>
        <w:t>7.9 percentage-point improvement in TOD information retrieval across 10 aspects</w:t>
      </w:r>
    </w:p>
    <w:p>
      <w:pPr>
        <w:pStyle w:val="ListBullet"/>
        <w:ind w:firstLine="0"/>
      </w:pPr>
      <w:r>
        <w:rPr>
          <w:sz w:val="22"/>
        </w:rPr>
        <w:t>t-SNE shows 62.9% tighter clustering of TOD-specific vocabulary after adaptation</w:t>
      </w:r>
    </w:p>
    <w:p>
      <w:pPr>
        <w:pStyle w:val="ListBullet"/>
        <w:ind w:firstLine="0"/>
      </w:pPr>
      <w:r>
        <w:rPr>
          <w:sz w:val="22"/>
        </w:rPr>
        <w:t>Trained in 38.5 minutes on a single consumer GPU; reproducible and publicly available</w:t>
      </w:r>
    </w:p>
    <w:p/>
    <w:p>
      <w:pPr>
        <w:pStyle w:val="Heading1"/>
        <w:spacing w:before="240" w:after="120"/>
      </w:pPr>
      <w:r>
        <w:rPr>
          <w:rFonts w:ascii="Times New Roman" w:hAnsi="Times New Roman"/>
          <w:b/>
          <w:color w:val="1A5376"/>
          <w:sz w:val="26"/>
        </w:rPr>
        <w:t>Abstract</w:t>
      </w:r>
    </w:p>
    <w:p>
      <w:pPr>
        <w:spacing w:after="120" w:before="0"/>
      </w:pPr>
      <w:r>
        <w:rPr>
          <w:rFonts w:ascii="Times New Roman" w:hAnsi="Times New Roman"/>
          <w:b w:val="0"/>
          <w:i w:val="0"/>
          <w:sz w:val="22"/>
        </w:rPr>
        <w:t>Transit-oriented development (TOD) has produced a large and technically specific research literature, yet the natural language processing tools used to synthesize that literature still rely on general-purpose scientific language models. These models lack the domain vocabulary that structures TOD discourse — station catchment, intermodal connectivity, floor area ratio — and consequently perform poorly on TOD-specific retrieval and analysis tasks. This paper introduces TOD-SciBERT, a domain-adapted version of SciBERT produced by continued masked language modelling (MLM) pre-training on 154 peer-reviewed TOD papers comprising 109,398 sentences and 2.34 million words. Training completed in 38.5 minutes on a single NVIDIA RTX 3060 GPU. Against the SciBERT baseline on held-out TOD text, TOD-SciBERT reduces perplexity from 10.59 to 6.64 — a 37.3% improvement — and raises retrieval cosine similarity by 7.9 percentage points across ten TOD sustainability dimensions. t-SNE visualisation confirms that TOD-specific vocabulary clusters 62.9% more tightly in TOD-SciBERT's embedding space. TOD-SciBERT is, to our knowledge, the first language model pre-trained specifically on TOD research literature, and is released publicly to support future computational work in urban sustainability analysis.</w:t>
      </w:r>
    </w:p>
    <w:p>
      <w:pPr>
        <w:spacing w:after="360"/>
        <w:ind w:firstLine="0"/>
      </w:pPr>
      <w:r>
        <w:rPr>
          <w:rFonts w:ascii="Times New Roman" w:hAnsi="Times New Roman"/>
          <w:b/>
          <w:sz w:val="22"/>
        </w:rPr>
        <w:t xml:space="preserve">Keywords: </w:t>
      </w:r>
      <w:r>
        <w:rPr>
          <w:rFonts w:ascii="Times New Roman" w:hAnsi="Times New Roman"/>
          <w:sz w:val="22"/>
        </w:rPr>
        <w:t>Transit-oriented development; Domain adaptive pre-training; SciBERT; Natural language processing; Urban sustainability; Information retrieval</w:t>
      </w:r>
    </w:p>
    <w:p>
      <w:pPr>
        <w:pStyle w:val="Heading1"/>
        <w:spacing w:before="240" w:after="120"/>
      </w:pPr>
      <w:r>
        <w:rPr>
          <w:rFonts w:ascii="Times New Roman" w:hAnsi="Times New Roman"/>
          <w:b/>
          <w:color w:val="1A5376"/>
          <w:sz w:val="26"/>
        </w:rPr>
        <w:t>1. Introduction</w:t>
      </w:r>
    </w:p>
    <w:p>
      <w:pPr>
        <w:spacing w:after="120" w:before="0"/>
        <w:ind w:firstLine="283"/>
      </w:pPr>
      <w:r>
        <w:rPr>
          <w:rFonts w:ascii="Times New Roman" w:hAnsi="Times New Roman"/>
          <w:b w:val="0"/>
          <w:i w:val="0"/>
          <w:sz w:val="22"/>
        </w:rPr>
        <w:t>Transit-oriented development — compact, mixed-use urban growth concentrated within walkable distance of transit stations — has been studied systematically since Calthorpe (1993) first formalized the concept. By 2025, the literature spans thousands of peer-reviewed papers covering land use regulation, carbon accounting, equity, and urban form. Researchers who want to synthesize that literature face a practical problem: the text is dense, technical, and domain-specific in ways that general natural language processing (NLP) tools do not handle well.</w:t>
      </w:r>
    </w:p>
    <w:p>
      <w:pPr>
        <w:spacing w:after="120" w:before="0"/>
        <w:ind w:firstLine="283"/>
      </w:pPr>
      <w:r>
        <w:rPr>
          <w:rFonts w:ascii="Times New Roman" w:hAnsi="Times New Roman"/>
          <w:b w:val="0"/>
          <w:i w:val="0"/>
          <w:sz w:val="22"/>
        </w:rPr>
        <w:t>Consider a simple retrieval task: given the query 'station area density and its effect on ridership,' a language model should return sentences about floor area ratios, catchment zones, and modal choice. A model with no exposure to TOD literature will instead return anything containing the word 'density,' including discussion of network topology or molecular compounds. The problem is not the architecture — it is the training distribution. General scientific language models treat 'station' as interchangeable with 'research station' and 'density' as a physics concept, because that is where the word appears most frequently in their training corpora.</w:t>
      </w:r>
    </w:p>
    <w:p>
      <w:pPr>
        <w:spacing w:after="120" w:before="0"/>
        <w:ind w:firstLine="283"/>
      </w:pPr>
      <w:r>
        <w:rPr>
          <w:rFonts w:ascii="Times New Roman" w:hAnsi="Times New Roman"/>
          <w:b w:val="0"/>
          <w:i w:val="0"/>
          <w:sz w:val="22"/>
        </w:rPr>
        <w:t>The standard remedy is domain adaptive pre-training (DAPT), introduced by Gururangan et al. (2020). The method is straightforward: take a pre-trained model and continue training it on in-domain text before any task-specific fine-tuning. The continued training costs a fraction of training from scratch, and performance improvements on domain-specific tasks are consistent across fields including biomedical NLP (Lee et al., 2020), legal text analysis (Chalkidis et al., 2020), and materials science (Trewartha et al., 2022). No equivalent model exists for TOD research.</w:t>
      </w:r>
    </w:p>
    <w:p>
      <w:pPr>
        <w:spacing w:after="120" w:before="0"/>
        <w:ind w:firstLine="283"/>
      </w:pPr>
      <w:r>
        <w:rPr>
          <w:rFonts w:ascii="Times New Roman" w:hAnsi="Times New Roman"/>
          <w:b w:val="0"/>
          <w:i w:val="0"/>
          <w:sz w:val="22"/>
        </w:rPr>
        <w:t>This paper fills that gap. We present TOD-SciBERT: SciBERT (Beltagy et al., 2019) adapted to the TOD domain through continued MLM pre-training on 154 peer-reviewed papers. The results are unambiguous. Perplexity on held-out TOD text falls from 10.59 to 6.64. Retrieval cosine similarity across ten TOD query categories improves by 7.9 percentage points. t-SNE visualisation confirms that TOD-specific vocabulary forms substantially tighter semantic clusters after adaptation. The model was trained in under 40 minutes on consumer hardware.</w:t>
      </w:r>
    </w:p>
    <w:p>
      <w:pPr>
        <w:spacing w:after="120" w:before="0"/>
        <w:ind w:firstLine="283"/>
      </w:pPr>
      <w:r>
        <w:rPr>
          <w:rFonts w:ascii="Times New Roman" w:hAnsi="Times New Roman"/>
          <w:b w:val="0"/>
          <w:i w:val="0"/>
          <w:sz w:val="22"/>
        </w:rPr>
        <w:t>The primary contribution is the trained model itself, released publicly. We do not propose a new pre-training algorithm; the DAPT procedure follows Gururangan et al. (2020) without modification. What we provide is a trained artefact, a reproducible training pipeline, and an evaluation demonstrating that the model genuinely acquired TOD domain knowledge — not just vocabulary frequency, but semantic relationships between TOD concepts.</w:t>
      </w:r>
    </w:p>
    <w:p>
      <w:pPr>
        <w:pStyle w:val="Heading1"/>
        <w:spacing w:before="240" w:after="120"/>
      </w:pPr>
      <w:r>
        <w:rPr>
          <w:rFonts w:ascii="Times New Roman" w:hAnsi="Times New Roman"/>
          <w:b/>
          <w:color w:val="1A5376"/>
          <w:sz w:val="26"/>
        </w:rPr>
        <w:t>2. Related Work</w:t>
      </w:r>
    </w:p>
    <w:p>
      <w:pPr>
        <w:pStyle w:val="Heading2"/>
        <w:spacing w:before="240" w:after="120"/>
      </w:pPr>
      <w:r>
        <w:rPr>
          <w:rFonts w:ascii="Times New Roman" w:hAnsi="Times New Roman"/>
          <w:b/>
          <w:color w:val="1A5376"/>
          <w:sz w:val="24"/>
        </w:rPr>
        <w:t>2.1 TOD Research and the Knowledge Synthesis Problem</w:t>
      </w:r>
    </w:p>
    <w:p>
      <w:pPr>
        <w:spacing w:after="120" w:before="0"/>
        <w:ind w:firstLine="283"/>
      </w:pPr>
      <w:r>
        <w:rPr>
          <w:rFonts w:ascii="Times New Roman" w:hAnsi="Times New Roman"/>
          <w:b w:val="0"/>
          <w:i w:val="0"/>
          <w:sz w:val="22"/>
        </w:rPr>
        <w:t>The TOD sustainability literature is methodologically diverse. Studies quantify the effect of TOD on vehicle kilometres travelled (Cervero &amp; Kockelman, 1997; Chatman, 2013), examine equity implications of station-area gentrification (Padeiro et al., 2019), and construct composite sustainability indices from environmental, social, and economic dimensions (Papa et al., 2017). Systematic reviews exist (Ibraeva et al., 2020; Kamruzzaman et al., 2014), but manual synthesis is slow and incomplete as publication volume grows.</w:t>
      </w:r>
    </w:p>
    <w:p>
      <w:pPr>
        <w:spacing w:after="120" w:before="0"/>
        <w:ind w:firstLine="283"/>
      </w:pPr>
      <w:r>
        <w:rPr>
          <w:rFonts w:ascii="Times New Roman" w:hAnsi="Times New Roman"/>
          <w:b w:val="0"/>
          <w:i w:val="0"/>
          <w:sz w:val="22"/>
        </w:rPr>
        <w:t>Computational approaches to urban planning literature have emerged recently. Zhao et al. (2025) benchmarked general LLMs on urban planning examination questions; Zhou et al. (2025) built a RAG-based chatbot for municipal bylaw retrieval, demonstrating that domain-specific retrieval systems outperform general-purpose models in planning contexts. TOD-specific computational tools remain absent. Researchers either rely on keyword search — which misses semantic relationships — or use general embeddings that fail to distinguish TOD-specific uses of shared vocabulary.</w:t>
      </w:r>
    </w:p>
    <w:p>
      <w:pPr>
        <w:pStyle w:val="Heading2"/>
        <w:spacing w:before="240" w:after="120"/>
      </w:pPr>
      <w:r>
        <w:rPr>
          <w:rFonts w:ascii="Times New Roman" w:hAnsi="Times New Roman"/>
          <w:b/>
          <w:color w:val="1A5376"/>
          <w:sz w:val="24"/>
        </w:rPr>
        <w:t>2.2 Domain Adaptive Pre-Training</w:t>
      </w:r>
    </w:p>
    <w:p>
      <w:pPr>
        <w:spacing w:after="120" w:before="0"/>
        <w:ind w:firstLine="283"/>
      </w:pPr>
      <w:r>
        <w:rPr>
          <w:rFonts w:ascii="Times New Roman" w:hAnsi="Times New Roman"/>
          <w:b w:val="0"/>
          <w:i w:val="0"/>
          <w:sz w:val="22"/>
        </w:rPr>
        <w:t>Gururangan et al. (2020) established the core result: continued pre-training on in-domain text consistently improves downstream performance, even when the base model was already pre-trained on a large general corpus. The improvement is largest in domains with distinctive vocabulary and sentence structure — exactly the situation with TOD research, which uses terms like 'transit-oriented development,' 'park-and-ride,' and 'intermodal hub' in ways that general scientific language does not.</w:t>
      </w:r>
    </w:p>
    <w:p>
      <w:pPr>
        <w:spacing w:after="120" w:before="0"/>
        <w:ind w:firstLine="283"/>
      </w:pPr>
      <w:r>
        <w:rPr>
          <w:rFonts w:ascii="Times New Roman" w:hAnsi="Times New Roman"/>
          <w:b w:val="0"/>
          <w:i w:val="0"/>
          <w:sz w:val="22"/>
        </w:rPr>
        <w:t>The DAPT pattern has since been applied widely. BioBERT (Lee et al., 2020) adapts BERT to biomedical literature and shows consistent gains on named entity recognition and relation extraction. LegalBERT (Chalkidis et al., 2020) targets legal documents. MatSciBERT (Gupta et al., 2022) focuses on materials science papers. Each reports measurable gains on domain-specific tasks relative to the general starting model. TOD-SciBERT applies the same logic using SciBERT as the base, since TOD papers share vocabulary and discourse structure with scientific literature at large.</w:t>
      </w:r>
    </w:p>
    <w:p>
      <w:pPr>
        <w:pStyle w:val="Heading2"/>
        <w:spacing w:before="240" w:after="120"/>
      </w:pPr>
      <w:r>
        <w:rPr>
          <w:rFonts w:ascii="Times New Roman" w:hAnsi="Times New Roman"/>
          <w:b/>
          <w:color w:val="1A5376"/>
          <w:sz w:val="24"/>
        </w:rPr>
        <w:t>2.3 SciBERT</w:t>
      </w:r>
    </w:p>
    <w:p>
      <w:pPr>
        <w:spacing w:after="120" w:before="0"/>
        <w:ind w:firstLine="283"/>
      </w:pPr>
      <w:r>
        <w:rPr>
          <w:rFonts w:ascii="Times New Roman" w:hAnsi="Times New Roman"/>
          <w:b w:val="0"/>
          <w:i w:val="0"/>
          <w:sz w:val="22"/>
        </w:rPr>
        <w:t>SciBERT (Beltagy et al., 2019) is BERT (Devlin et al., 2019) pre-trained on 1.14 million scientific papers from Semantic Scholar, spanning biology, computer science, and adjacent fields. It performs substantially better than general BERT on scientific NLP tasks including named entity recognition, relation classification, and text classification. For TOD research, SciBERT is a stronger starting point than BERT because TOD papers share surface-level vocabulary and citation conventions with scientific writing broadly. However, SciBERT was not trained on urban planning or transportation literature in any systematic way, and consequently lacks grounding in the specific semantic relationships that TOD retrieval tasks require.</w:t>
      </w:r>
    </w:p>
    <w:p>
      <w:pPr>
        <w:pStyle w:val="Heading1"/>
        <w:spacing w:before="240" w:after="120"/>
      </w:pPr>
      <w:r>
        <w:rPr>
          <w:rFonts w:ascii="Times New Roman" w:hAnsi="Times New Roman"/>
          <w:b/>
          <w:color w:val="1A5376"/>
          <w:sz w:val="26"/>
        </w:rPr>
        <w:t>3. Methodology</w:t>
      </w:r>
    </w:p>
    <w:p>
      <w:pPr>
        <w:pStyle w:val="Heading2"/>
        <w:spacing w:before="240" w:after="120"/>
      </w:pPr>
      <w:r>
        <w:rPr>
          <w:rFonts w:ascii="Times New Roman" w:hAnsi="Times New Roman"/>
          <w:b/>
          <w:color w:val="1A5376"/>
          <w:sz w:val="24"/>
        </w:rPr>
        <w:t>3.1 Corpus Construction</w:t>
      </w:r>
    </w:p>
    <w:p>
      <w:pPr>
        <w:spacing w:after="120" w:before="0"/>
        <w:ind w:firstLine="283"/>
      </w:pPr>
      <w:r>
        <w:rPr>
          <w:rFonts w:ascii="Times New Roman" w:hAnsi="Times New Roman"/>
          <w:b w:val="0"/>
          <w:i w:val="0"/>
          <w:sz w:val="22"/>
        </w:rPr>
        <w:t>We collected 154 peer-reviewed papers on TOD sustainability published between 2010 and 2025 from Scopus, Web of Science, and Google Scholar. Papers were screened by title and abstract for relevance to both TOD and sustainability; conference papers and grey literature were excluded. Raw text was extracted from PDFs using PyMuPDF. Pre-processing was minimal: hyphenated line breaks were joined, ligature characters were corrected (fi, fl), and soft newlines within paragraphs were collapsed into single spaces. No content-based filtering was applied — no sentence length thresholds, no vocabulary exclusions — following Gururangan et al. (2020), who note that aggressive cleaning risks removing exactly the unusual but domain-relevant sentences that adaptation should teach the model to handle. Duplicate sentences were removed by matching on the first 120 characters after lowercasing.</w:t>
      </w:r>
    </w:p>
    <w:p>
      <w:pPr>
        <w:spacing w:after="120" w:before="0"/>
        <w:ind w:firstLine="283"/>
      </w:pPr>
      <w:r>
        <w:rPr>
          <w:rFonts w:ascii="Times New Roman" w:hAnsi="Times New Roman"/>
          <w:b w:val="0"/>
          <w:i w:val="0"/>
          <w:sz w:val="22"/>
        </w:rPr>
        <w:t>The resulting corpus contains 109,398 sentences, 2.34 million words, and occupies 15.8 MB. Average sentence length is 21.4 words. The corpus is available alongside the training code at the repository linked in the supplementary materials.</w:t>
      </w:r>
    </w:p>
    <w:p>
      <w:pPr>
        <w:pStyle w:val="Heading2"/>
        <w:spacing w:before="240" w:after="120"/>
      </w:pPr>
      <w:r>
        <w:rPr>
          <w:rFonts w:ascii="Times New Roman" w:hAnsi="Times New Roman"/>
          <w:b/>
          <w:color w:val="1A5376"/>
          <w:sz w:val="24"/>
        </w:rPr>
        <w:t>3.2 DAPT Training</w:t>
      </w:r>
    </w:p>
    <w:p>
      <w:pPr>
        <w:spacing w:after="120" w:before="0"/>
        <w:ind w:firstLine="283"/>
      </w:pPr>
      <w:r>
        <w:rPr>
          <w:rFonts w:ascii="Times New Roman" w:hAnsi="Times New Roman"/>
          <w:b w:val="0"/>
          <w:i w:val="0"/>
          <w:sz w:val="22"/>
        </w:rPr>
        <w:t>We used SciBERT (allenai/scibert_scivocab_uncased) as the base model, with 133.9 million parameters. Training used the standard masked language modelling (MLM) objective: 15% of input tokens are replaced with [MASK] at random, and the model is trained to predict the original tokens from the surrounding context. No modifications to the pre-training objective were made.</w:t>
      </w:r>
    </w:p>
    <w:p>
      <w:pPr>
        <w:spacing w:after="120" w:before="0"/>
        <w:ind w:firstLine="283"/>
      </w:pPr>
      <w:r>
        <w:rPr>
          <w:rFonts w:ascii="Times New Roman" w:hAnsi="Times New Roman"/>
          <w:b w:val="0"/>
          <w:i w:val="0"/>
          <w:sz w:val="22"/>
        </w:rPr>
        <w:t>The corpus was tokenised using SciBERT's vocabulary, with sequences truncated at 256 tokens. We split the tokenised dataset 90/10 into training (98,458 sequences) and evaluation (10,940 sequences) sets. Training ran for three epochs with a per-device batch size of 16 and gradient accumulation over four steps, giving an effective batch size of 64. The learning rate was set to 2×10⁻⁵ with a linear warm-up over 6% of total training steps (277 steps), followed by linear decay to zero. Mixed-precision (fp16) training was used throughout. The model was trained on a single NVIDIA RTX 3060 (12 GB VRAM) and completed in 38.5 minutes. Checkpoints were saved after each epoch, and the checkpoint with the lowest evaluation loss was selected as the final model.</w:t>
      </w:r>
    </w:p>
    <w:p>
      <w:pPr>
        <w:spacing w:after="60"/>
        <w:ind w:firstLine="0"/>
      </w:pPr>
      <w:r>
        <w:rPr>
          <w:rFonts w:ascii="Times New Roman" w:hAnsi="Times New Roman"/>
          <w:b/>
          <w:sz w:val="20"/>
        </w:rPr>
        <w:t>Table 1. DAPT Training Configuration</w:t>
      </w:r>
    </w:p>
    <w:tbl>
      <w:tblPr>
        <w:tblStyle w:val="TableGrid"/>
        <w:tblW w:type="auto" w:w="0"/>
        <w:tblLook w:firstColumn="1" w:firstRow="1" w:lastColumn="0" w:lastRow="0" w:noHBand="0" w:noVBand="1" w:val="04A0"/>
      </w:tblPr>
      <w:tblGrid>
        <w:gridCol w:w="4419"/>
        <w:gridCol w:w="4419"/>
      </w:tblGrid>
      <w:tr>
        <w:tc>
          <w:tcPr>
            <w:tcW w:type="dxa" w:w="4419"/>
          </w:tcPr>
          <w:p>
            <w:pPr>
              <w:jc w:val="center"/>
            </w:pPr>
            <w:r>
              <w:rPr>
                <w:rFonts w:ascii="Times New Roman" w:hAnsi="Times New Roman"/>
                <w:b/>
                <w:sz w:val="20"/>
              </w:rPr>
              <w:t>Parameter</w:t>
            </w:r>
          </w:p>
        </w:tc>
        <w:tc>
          <w:tcPr>
            <w:tcW w:type="dxa" w:w="4419"/>
          </w:tcPr>
          <w:p>
            <w:pPr>
              <w:jc w:val="center"/>
            </w:pPr>
            <w:r>
              <w:rPr>
                <w:rFonts w:ascii="Times New Roman" w:hAnsi="Times New Roman"/>
                <w:b/>
                <w:sz w:val="20"/>
              </w:rPr>
              <w:t>Value</w:t>
            </w:r>
          </w:p>
        </w:tc>
      </w:tr>
      <w:tr>
        <w:tc>
          <w:tcPr>
            <w:tcW w:type="dxa" w:w="4419"/>
          </w:tcPr>
          <w:p>
            <w:pPr>
              <w:jc w:val="center"/>
            </w:pPr>
            <w:r>
              <w:rPr>
                <w:rFonts w:ascii="Times New Roman" w:hAnsi="Times New Roman"/>
                <w:sz w:val="20"/>
              </w:rPr>
              <w:t>Base model</w:t>
            </w:r>
          </w:p>
        </w:tc>
        <w:tc>
          <w:tcPr>
            <w:tcW w:type="dxa" w:w="4419"/>
          </w:tcPr>
          <w:p>
            <w:pPr>
              <w:jc w:val="center"/>
            </w:pPr>
            <w:r>
              <w:rPr>
                <w:rFonts w:ascii="Times New Roman" w:hAnsi="Times New Roman"/>
                <w:sz w:val="20"/>
              </w:rPr>
              <w:t>allenai/scibert_scivocab_uncased</w:t>
            </w:r>
          </w:p>
        </w:tc>
      </w:tr>
      <w:tr>
        <w:tc>
          <w:tcPr>
            <w:tcW w:type="dxa" w:w="4419"/>
          </w:tcPr>
          <w:p>
            <w:pPr>
              <w:jc w:val="center"/>
            </w:pPr>
            <w:r>
              <w:rPr>
                <w:rFonts w:ascii="Times New Roman" w:hAnsi="Times New Roman"/>
                <w:sz w:val="20"/>
              </w:rPr>
              <w:t>Parameters</w:t>
            </w:r>
          </w:p>
        </w:tc>
        <w:tc>
          <w:tcPr>
            <w:tcW w:type="dxa" w:w="4419"/>
          </w:tcPr>
          <w:p>
            <w:pPr>
              <w:jc w:val="center"/>
            </w:pPr>
            <w:r>
              <w:rPr>
                <w:rFonts w:ascii="Times New Roman" w:hAnsi="Times New Roman"/>
                <w:sz w:val="20"/>
              </w:rPr>
              <w:t>133.9M</w:t>
            </w:r>
          </w:p>
        </w:tc>
      </w:tr>
      <w:tr>
        <w:tc>
          <w:tcPr>
            <w:tcW w:type="dxa" w:w="4419"/>
          </w:tcPr>
          <w:p>
            <w:pPr>
              <w:jc w:val="center"/>
            </w:pPr>
            <w:r>
              <w:rPr>
                <w:rFonts w:ascii="Times New Roman" w:hAnsi="Times New Roman"/>
                <w:sz w:val="20"/>
              </w:rPr>
              <w:t>Corpus sentences</w:t>
            </w:r>
          </w:p>
        </w:tc>
        <w:tc>
          <w:tcPr>
            <w:tcW w:type="dxa" w:w="4419"/>
          </w:tcPr>
          <w:p>
            <w:pPr>
              <w:jc w:val="center"/>
            </w:pPr>
            <w:r>
              <w:rPr>
                <w:rFonts w:ascii="Times New Roman" w:hAnsi="Times New Roman"/>
                <w:sz w:val="20"/>
              </w:rPr>
              <w:t>109,398</w:t>
            </w:r>
          </w:p>
        </w:tc>
      </w:tr>
      <w:tr>
        <w:tc>
          <w:tcPr>
            <w:tcW w:type="dxa" w:w="4419"/>
          </w:tcPr>
          <w:p>
            <w:pPr>
              <w:jc w:val="center"/>
            </w:pPr>
            <w:r>
              <w:rPr>
                <w:rFonts w:ascii="Times New Roman" w:hAnsi="Times New Roman"/>
                <w:sz w:val="20"/>
              </w:rPr>
              <w:t>Corpus words</w:t>
            </w:r>
          </w:p>
        </w:tc>
        <w:tc>
          <w:tcPr>
            <w:tcW w:type="dxa" w:w="4419"/>
          </w:tcPr>
          <w:p>
            <w:pPr>
              <w:jc w:val="center"/>
            </w:pPr>
            <w:r>
              <w:rPr>
                <w:rFonts w:ascii="Times New Roman" w:hAnsi="Times New Roman"/>
                <w:sz w:val="20"/>
              </w:rPr>
              <w:t>2.34 million</w:t>
            </w:r>
          </w:p>
        </w:tc>
      </w:tr>
      <w:tr>
        <w:tc>
          <w:tcPr>
            <w:tcW w:type="dxa" w:w="4419"/>
          </w:tcPr>
          <w:p>
            <w:pPr>
              <w:jc w:val="center"/>
            </w:pPr>
            <w:r>
              <w:rPr>
                <w:rFonts w:ascii="Times New Roman" w:hAnsi="Times New Roman"/>
                <w:sz w:val="20"/>
              </w:rPr>
              <w:t>Max sequence length</w:t>
            </w:r>
          </w:p>
        </w:tc>
        <w:tc>
          <w:tcPr>
            <w:tcW w:type="dxa" w:w="4419"/>
          </w:tcPr>
          <w:p>
            <w:pPr>
              <w:jc w:val="center"/>
            </w:pPr>
            <w:r>
              <w:rPr>
                <w:rFonts w:ascii="Times New Roman" w:hAnsi="Times New Roman"/>
                <w:sz w:val="20"/>
              </w:rPr>
              <w:t>256 tokens</w:t>
            </w:r>
          </w:p>
        </w:tc>
      </w:tr>
      <w:tr>
        <w:tc>
          <w:tcPr>
            <w:tcW w:type="dxa" w:w="4419"/>
          </w:tcPr>
          <w:p>
            <w:pPr>
              <w:jc w:val="center"/>
            </w:pPr>
            <w:r>
              <w:rPr>
                <w:rFonts w:ascii="Times New Roman" w:hAnsi="Times New Roman"/>
                <w:sz w:val="20"/>
              </w:rPr>
              <w:t>Effective batch size</w:t>
            </w:r>
          </w:p>
        </w:tc>
        <w:tc>
          <w:tcPr>
            <w:tcW w:type="dxa" w:w="4419"/>
          </w:tcPr>
          <w:p>
            <w:pPr>
              <w:jc w:val="center"/>
            </w:pPr>
            <w:r>
              <w:rPr>
                <w:rFonts w:ascii="Times New Roman" w:hAnsi="Times New Roman"/>
                <w:sz w:val="20"/>
              </w:rPr>
              <w:t>64 (16 × 4 grad accum)</w:t>
            </w:r>
          </w:p>
        </w:tc>
      </w:tr>
      <w:tr>
        <w:tc>
          <w:tcPr>
            <w:tcW w:type="dxa" w:w="4419"/>
          </w:tcPr>
          <w:p>
            <w:pPr>
              <w:jc w:val="center"/>
            </w:pPr>
            <w:r>
              <w:rPr>
                <w:rFonts w:ascii="Times New Roman" w:hAnsi="Times New Roman"/>
                <w:sz w:val="20"/>
              </w:rPr>
              <w:t>Learning rate</w:t>
            </w:r>
          </w:p>
        </w:tc>
        <w:tc>
          <w:tcPr>
            <w:tcW w:type="dxa" w:w="4419"/>
          </w:tcPr>
          <w:p>
            <w:pPr>
              <w:jc w:val="center"/>
            </w:pPr>
            <w:r>
              <w:rPr>
                <w:rFonts w:ascii="Times New Roman" w:hAnsi="Times New Roman"/>
                <w:sz w:val="20"/>
              </w:rPr>
              <w:t>2×10⁻⁵</w:t>
            </w:r>
          </w:p>
        </w:tc>
      </w:tr>
      <w:tr>
        <w:tc>
          <w:tcPr>
            <w:tcW w:type="dxa" w:w="4419"/>
          </w:tcPr>
          <w:p>
            <w:pPr>
              <w:jc w:val="center"/>
            </w:pPr>
            <w:r>
              <w:rPr>
                <w:rFonts w:ascii="Times New Roman" w:hAnsi="Times New Roman"/>
                <w:sz w:val="20"/>
              </w:rPr>
              <w:t>Warmup ratio</w:t>
            </w:r>
          </w:p>
        </w:tc>
        <w:tc>
          <w:tcPr>
            <w:tcW w:type="dxa" w:w="4419"/>
          </w:tcPr>
          <w:p>
            <w:pPr>
              <w:jc w:val="center"/>
            </w:pPr>
            <w:r>
              <w:rPr>
                <w:rFonts w:ascii="Times New Roman" w:hAnsi="Times New Roman"/>
                <w:sz w:val="20"/>
              </w:rPr>
              <w:t>0.06</w:t>
            </w:r>
          </w:p>
        </w:tc>
      </w:tr>
      <w:tr>
        <w:tc>
          <w:tcPr>
            <w:tcW w:type="dxa" w:w="4419"/>
          </w:tcPr>
          <w:p>
            <w:pPr>
              <w:jc w:val="center"/>
            </w:pPr>
            <w:r>
              <w:rPr>
                <w:rFonts w:ascii="Times New Roman" w:hAnsi="Times New Roman"/>
                <w:sz w:val="20"/>
              </w:rPr>
              <w:t>Training epochs</w:t>
            </w:r>
          </w:p>
        </w:tc>
        <w:tc>
          <w:tcPr>
            <w:tcW w:type="dxa" w:w="4419"/>
          </w:tcPr>
          <w:p>
            <w:pPr>
              <w:jc w:val="center"/>
            </w:pPr>
            <w:r>
              <w:rPr>
                <w:rFonts w:ascii="Times New Roman" w:hAnsi="Times New Roman"/>
                <w:sz w:val="20"/>
              </w:rPr>
              <w:t>3</w:t>
            </w:r>
          </w:p>
        </w:tc>
      </w:tr>
      <w:tr>
        <w:tc>
          <w:tcPr>
            <w:tcW w:type="dxa" w:w="4419"/>
          </w:tcPr>
          <w:p>
            <w:pPr>
              <w:jc w:val="center"/>
            </w:pPr>
            <w:r>
              <w:rPr>
                <w:rFonts w:ascii="Times New Roman" w:hAnsi="Times New Roman"/>
                <w:sz w:val="20"/>
              </w:rPr>
              <w:t>MLM probability</w:t>
            </w:r>
          </w:p>
        </w:tc>
        <w:tc>
          <w:tcPr>
            <w:tcW w:type="dxa" w:w="4419"/>
          </w:tcPr>
          <w:p>
            <w:pPr>
              <w:jc w:val="center"/>
            </w:pPr>
            <w:r>
              <w:rPr>
                <w:rFonts w:ascii="Times New Roman" w:hAnsi="Times New Roman"/>
                <w:sz w:val="20"/>
              </w:rPr>
              <w:t>0.15</w:t>
            </w:r>
          </w:p>
        </w:tc>
      </w:tr>
      <w:tr>
        <w:tc>
          <w:tcPr>
            <w:tcW w:type="dxa" w:w="4419"/>
          </w:tcPr>
          <w:p>
            <w:pPr>
              <w:jc w:val="center"/>
            </w:pPr>
            <w:r>
              <w:rPr>
                <w:rFonts w:ascii="Times New Roman" w:hAnsi="Times New Roman"/>
                <w:sz w:val="20"/>
              </w:rPr>
              <w:t>Hardware</w:t>
            </w:r>
          </w:p>
        </w:tc>
        <w:tc>
          <w:tcPr>
            <w:tcW w:type="dxa" w:w="4419"/>
          </w:tcPr>
          <w:p>
            <w:pPr>
              <w:jc w:val="center"/>
            </w:pPr>
            <w:r>
              <w:rPr>
                <w:rFonts w:ascii="Times New Roman" w:hAnsi="Times New Roman"/>
                <w:sz w:val="20"/>
              </w:rPr>
              <w:t>NVIDIA RTX 3060 12 GB</w:t>
            </w:r>
          </w:p>
        </w:tc>
      </w:tr>
      <w:tr>
        <w:tc>
          <w:tcPr>
            <w:tcW w:type="dxa" w:w="4419"/>
          </w:tcPr>
          <w:p>
            <w:pPr>
              <w:jc w:val="center"/>
            </w:pPr>
            <w:r>
              <w:rPr>
                <w:rFonts w:ascii="Times New Roman" w:hAnsi="Times New Roman"/>
                <w:sz w:val="20"/>
              </w:rPr>
              <w:t>Training time</w:t>
            </w:r>
          </w:p>
        </w:tc>
        <w:tc>
          <w:tcPr>
            <w:tcW w:type="dxa" w:w="4419"/>
          </w:tcPr>
          <w:p>
            <w:pPr>
              <w:jc w:val="center"/>
            </w:pPr>
            <w:r>
              <w:rPr>
                <w:rFonts w:ascii="Times New Roman" w:hAnsi="Times New Roman"/>
                <w:sz w:val="20"/>
              </w:rPr>
              <w:t>38.5 minutes</w:t>
            </w:r>
          </w:p>
        </w:tc>
      </w:tr>
    </w:tbl>
    <w:p>
      <w:pPr>
        <w:spacing w:after="120"/>
      </w:pPr>
    </w:p>
    <w:p>
      <w:pPr>
        <w:pStyle w:val="Heading2"/>
        <w:spacing w:before="240" w:after="120"/>
      </w:pPr>
      <w:r>
        <w:rPr>
          <w:rFonts w:ascii="Times New Roman" w:hAnsi="Times New Roman"/>
          <w:b/>
          <w:color w:val="1A5376"/>
          <w:sz w:val="24"/>
        </w:rPr>
        <w:t>3.3 Evaluation</w:t>
      </w:r>
    </w:p>
    <w:p>
      <w:pPr>
        <w:spacing w:after="120" w:before="0"/>
        <w:ind w:firstLine="283"/>
      </w:pPr>
      <w:r>
        <w:rPr>
          <w:rFonts w:ascii="Times New Roman" w:hAnsi="Times New Roman"/>
          <w:b w:val="0"/>
          <w:i w:val="0"/>
          <w:sz w:val="22"/>
        </w:rPr>
        <w:t>We evaluated TOD-SciBERT against SciBERT on three complementary measures: intrinsic language model perplexity, extrinsic retrieval cosine similarity, and a qualitative embedding space analysis via t-SNE visualisation.</w:t>
      </w:r>
    </w:p>
    <w:p>
      <w:pPr>
        <w:spacing w:after="120" w:before="0"/>
        <w:ind w:firstLine="283"/>
      </w:pPr>
      <w:r>
        <w:rPr>
          <w:rFonts w:ascii="Times New Roman" w:hAnsi="Times New Roman"/>
          <w:b w:val="0"/>
          <w:i w:val="0"/>
          <w:sz w:val="22"/>
        </w:rPr>
        <w:t>Perplexity under the MLM objective measures how well a language model fits a text distribution; lower perplexity indicates the model assigns higher probability to the actual tokens. We computed perplexity for both models on a randomly sampled set of 5,000 held-out sentences from the TOD corpus (seed 42), applying 15% masking and averaging cross-entropy loss across masked positions before exponentiating.</w:t>
      </w:r>
    </w:p>
    <w:p>
      <w:pPr>
        <w:spacing w:after="120" w:before="0"/>
        <w:ind w:firstLine="283"/>
      </w:pPr>
      <w:r>
        <w:rPr>
          <w:rFonts w:ascii="Times New Roman" w:hAnsi="Times New Roman"/>
          <w:b w:val="0"/>
          <w:i w:val="0"/>
          <w:sz w:val="22"/>
        </w:rPr>
        <w:t>For retrieval evaluation, we defined ten TOD sustainability dimensions and wrote one natural language query per dimension: land use mix, walkability, transit access, density, parking reduction, cycling infrastructure, green space, affordable housing, station area design, and urban design quality. For each query, we retrieved the top-15 most similar sentences from 20 representative TOD papers using each model's mean-pooled token embeddings (L2-normalised), and reported the average cosine similarity between query and retrieved sentence embeddings.</w:t>
      </w:r>
    </w:p>
    <w:p>
      <w:pPr>
        <w:spacing w:after="120" w:before="0"/>
        <w:ind w:firstLine="283"/>
      </w:pPr>
      <w:r>
        <w:rPr>
          <w:rFonts w:ascii="Times New Roman" w:hAnsi="Times New Roman"/>
          <w:b w:val="0"/>
          <w:i w:val="0"/>
          <w:sz w:val="22"/>
        </w:rPr>
        <w:t>For the t-SNE analysis, we selected 24 TOD-specific terms and 17 non-TOD scientific terms, embedded all 41 using the [CLS] token representation from each model, and applied t-SNE (perplexity=10, max_iter=2000) to reduce embeddings to two dimensions. Cluster compactness was quantified as the mean Euclidean distance from each TOD-term embedding to the centroid of all TOD-term embeddings.</w:t>
      </w:r>
    </w:p>
    <w:p>
      <w:pPr>
        <w:pStyle w:val="Heading1"/>
        <w:spacing w:before="240" w:after="120"/>
      </w:pPr>
      <w:r>
        <w:rPr>
          <w:rFonts w:ascii="Times New Roman" w:hAnsi="Times New Roman"/>
          <w:b/>
          <w:color w:val="1A5376"/>
          <w:sz w:val="26"/>
        </w:rPr>
        <w:t>4. Results</w:t>
      </w:r>
    </w:p>
    <w:p>
      <w:pPr>
        <w:pStyle w:val="Heading2"/>
        <w:spacing w:before="240" w:after="120"/>
      </w:pPr>
      <w:r>
        <w:rPr>
          <w:rFonts w:ascii="Times New Roman" w:hAnsi="Times New Roman"/>
          <w:b/>
          <w:color w:val="1A5376"/>
          <w:sz w:val="24"/>
        </w:rPr>
        <w:t>4.1 Perplexity</w:t>
      </w:r>
    </w:p>
    <w:p>
      <w:pPr>
        <w:spacing w:after="60"/>
        <w:ind w:firstLine="0"/>
      </w:pPr>
      <w:r>
        <w:rPr>
          <w:rFonts w:ascii="Times New Roman" w:hAnsi="Times New Roman"/>
          <w:b/>
          <w:sz w:val="20"/>
        </w:rPr>
        <w:t>Table 2. Perplexity on TOD domain text (5,000 held-out sentences)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rFonts w:ascii="Times New Roman" w:hAnsi="Times New Roman"/>
                <w:b/>
                <w:sz w:val="20"/>
              </w:rPr>
              <w:t>Model</w:t>
            </w:r>
          </w:p>
        </w:tc>
        <w:tc>
          <w:tcPr>
            <w:tcW w:type="dxa" w:w="2209"/>
          </w:tcPr>
          <w:p>
            <w:pPr>
              <w:jc w:val="center"/>
            </w:pPr>
            <w:r>
              <w:rPr>
                <w:rFonts w:ascii="Times New Roman" w:hAnsi="Times New Roman"/>
                <w:b/>
                <w:sz w:val="20"/>
              </w:rPr>
              <w:t>MLM Loss</w:t>
            </w:r>
          </w:p>
        </w:tc>
        <w:tc>
          <w:tcPr>
            <w:tcW w:type="dxa" w:w="2209"/>
          </w:tcPr>
          <w:p>
            <w:pPr>
              <w:jc w:val="center"/>
            </w:pPr>
            <w:r>
              <w:rPr>
                <w:rFonts w:ascii="Times New Roman" w:hAnsi="Times New Roman"/>
                <w:b/>
                <w:sz w:val="20"/>
              </w:rPr>
              <w:t>Perplexity</w:t>
            </w:r>
          </w:p>
        </w:tc>
        <w:tc>
          <w:tcPr>
            <w:tcW w:type="dxa" w:w="2209"/>
          </w:tcPr>
          <w:p>
            <w:pPr>
              <w:jc w:val="center"/>
            </w:pPr>
            <w:r>
              <w:rPr>
                <w:rFonts w:ascii="Times New Roman" w:hAnsi="Times New Roman"/>
                <w:b/>
                <w:sz w:val="20"/>
              </w:rPr>
              <w:t>Reduction</w:t>
            </w:r>
          </w:p>
        </w:tc>
      </w:tr>
      <w:tr>
        <w:tc>
          <w:tcPr>
            <w:tcW w:type="dxa" w:w="2209"/>
          </w:tcPr>
          <w:p>
            <w:pPr>
              <w:jc w:val="center"/>
            </w:pPr>
            <w:r>
              <w:rPr>
                <w:rFonts w:ascii="Times New Roman" w:hAnsi="Times New Roman"/>
                <w:sz w:val="20"/>
              </w:rPr>
              <w:t>SciBERT (baseline)</w:t>
            </w:r>
          </w:p>
        </w:tc>
        <w:tc>
          <w:tcPr>
            <w:tcW w:type="dxa" w:w="2209"/>
          </w:tcPr>
          <w:p>
            <w:pPr>
              <w:jc w:val="center"/>
            </w:pPr>
            <w:r>
              <w:rPr>
                <w:rFonts w:ascii="Times New Roman" w:hAnsi="Times New Roman"/>
                <w:sz w:val="20"/>
              </w:rPr>
              <w:t>2.3600</w:t>
            </w:r>
          </w:p>
        </w:tc>
        <w:tc>
          <w:tcPr>
            <w:tcW w:type="dxa" w:w="2209"/>
          </w:tcPr>
          <w:p>
            <w:pPr>
              <w:jc w:val="center"/>
            </w:pPr>
            <w:r>
              <w:rPr>
                <w:rFonts w:ascii="Times New Roman" w:hAnsi="Times New Roman"/>
                <w:sz w:val="20"/>
              </w:rPr>
              <w:t>10.59</w:t>
            </w:r>
          </w:p>
        </w:tc>
        <w:tc>
          <w:tcPr>
            <w:tcW w:type="dxa" w:w="2209"/>
          </w:tcPr>
          <w:p>
            <w:pPr>
              <w:jc w:val="center"/>
            </w:pPr>
            <w:r>
              <w:rPr>
                <w:rFonts w:ascii="Times New Roman" w:hAnsi="Times New Roman"/>
                <w:sz w:val="20"/>
              </w:rPr>
              <w:t>—</w:t>
            </w:r>
          </w:p>
        </w:tc>
      </w:tr>
      <w:tr>
        <w:tc>
          <w:tcPr>
            <w:tcW w:type="dxa" w:w="2209"/>
          </w:tcPr>
          <w:p>
            <w:pPr>
              <w:jc w:val="center"/>
            </w:pPr>
            <w:r>
              <w:rPr>
                <w:rFonts w:ascii="Times New Roman" w:hAnsi="Times New Roman"/>
                <w:sz w:val="20"/>
              </w:rPr>
              <w:t>TOD-SciBERT (ours)</w:t>
            </w:r>
          </w:p>
        </w:tc>
        <w:tc>
          <w:tcPr>
            <w:tcW w:type="dxa" w:w="2209"/>
          </w:tcPr>
          <w:p>
            <w:pPr>
              <w:jc w:val="center"/>
            </w:pPr>
            <w:r>
              <w:rPr>
                <w:rFonts w:ascii="Times New Roman" w:hAnsi="Times New Roman"/>
                <w:sz w:val="20"/>
              </w:rPr>
              <w:t>1.8932</w:t>
            </w:r>
          </w:p>
        </w:tc>
        <w:tc>
          <w:tcPr>
            <w:tcW w:type="dxa" w:w="2209"/>
          </w:tcPr>
          <w:p>
            <w:pPr>
              <w:jc w:val="center"/>
            </w:pPr>
            <w:r>
              <w:rPr>
                <w:rFonts w:ascii="Times New Roman" w:hAnsi="Times New Roman"/>
                <w:sz w:val="20"/>
              </w:rPr>
              <w:t>6.64</w:t>
            </w:r>
          </w:p>
        </w:tc>
        <w:tc>
          <w:tcPr>
            <w:tcW w:type="dxa" w:w="2209"/>
          </w:tcPr>
          <w:p>
            <w:pPr>
              <w:jc w:val="center"/>
            </w:pPr>
            <w:r>
              <w:rPr>
                <w:rFonts w:ascii="Times New Roman" w:hAnsi="Times New Roman"/>
                <w:sz w:val="20"/>
              </w:rPr>
              <w:t>37.3%</w:t>
            </w:r>
          </w:p>
        </w:tc>
      </w:tr>
    </w:tbl>
    <w:p>
      <w:pPr>
        <w:spacing w:after="120"/>
      </w:pPr>
    </w:p>
    <w:p>
      <w:pPr>
        <w:spacing w:after="120" w:before="0"/>
        <w:ind w:firstLine="283"/>
      </w:pPr>
      <w:r>
        <w:rPr>
          <w:rFonts w:ascii="Times New Roman" w:hAnsi="Times New Roman"/>
          <w:b w:val="0"/>
          <w:i w:val="0"/>
          <w:sz w:val="22"/>
        </w:rPr>
        <w:t>TOD-SciBERT reduces perplexity by 37.3% — from 10.59 to 6.64 — on the held-out TOD text. This means the model's probability distribution over TOD vocabulary shifted substantially toward the actual token distributions found in TOD research writing. Evaluation loss across the three training epochs decreased monotonically: 1.903 at epoch 1, 1.866 at epoch 2, and 1.855 at epoch 3, confirming convergence without overfitting to the training corpus.</w:t>
      </w:r>
    </w:p>
    <w:p>
      <w:pPr>
        <w:pStyle w:val="Heading2"/>
        <w:spacing w:before="240" w:after="120"/>
      </w:pPr>
      <w:r>
        <w:rPr>
          <w:rFonts w:ascii="Times New Roman" w:hAnsi="Times New Roman"/>
          <w:b/>
          <w:color w:val="1A5376"/>
          <w:sz w:val="24"/>
        </w:rPr>
        <w:t>4.2 Retrieval Performance</w:t>
      </w:r>
    </w:p>
    <w:p>
      <w:pPr>
        <w:spacing w:after="60"/>
        <w:ind w:firstLine="0"/>
      </w:pPr>
      <w:r>
        <w:rPr>
          <w:rFonts w:ascii="Times New Roman" w:hAnsi="Times New Roman"/>
          <w:b/>
          <w:sz w:val="20"/>
        </w:rPr>
        <w:t>Table 3. Average cosine similarity by TOD aspect (top-15 sentences, 20 papers)</w:t>
      </w:r>
    </w:p>
    <w:tbl>
      <w:tblPr>
        <w:tblStyle w:val="TableGrid"/>
        <w:tblW w:type="auto" w:w="0"/>
        <w:tblLook w:firstColumn="1" w:firstRow="1" w:lastColumn="0" w:lastRow="0" w:noHBand="0" w:noVBand="1" w:val="04A0"/>
      </w:tblPr>
      <w:tblGrid>
        <w:gridCol w:w="2209"/>
        <w:gridCol w:w="2209"/>
        <w:gridCol w:w="2209"/>
        <w:gridCol w:w="2209"/>
      </w:tblGrid>
      <w:tr>
        <w:tc>
          <w:tcPr>
            <w:tcW w:type="dxa" w:w="2209"/>
          </w:tcPr>
          <w:p>
            <w:pPr>
              <w:jc w:val="center"/>
            </w:pPr>
            <w:r>
              <w:rPr>
                <w:rFonts w:ascii="Times New Roman" w:hAnsi="Times New Roman"/>
                <w:b/>
                <w:sz w:val="20"/>
              </w:rPr>
              <w:t>TOD Aspect</w:t>
            </w:r>
          </w:p>
        </w:tc>
        <w:tc>
          <w:tcPr>
            <w:tcW w:type="dxa" w:w="2209"/>
          </w:tcPr>
          <w:p>
            <w:pPr>
              <w:jc w:val="center"/>
            </w:pPr>
            <w:r>
              <w:rPr>
                <w:rFonts w:ascii="Times New Roman" w:hAnsi="Times New Roman"/>
                <w:b/>
                <w:sz w:val="20"/>
              </w:rPr>
              <w:t>SciBERT</w:t>
            </w:r>
          </w:p>
        </w:tc>
        <w:tc>
          <w:tcPr>
            <w:tcW w:type="dxa" w:w="2209"/>
          </w:tcPr>
          <w:p>
            <w:pPr>
              <w:jc w:val="center"/>
            </w:pPr>
            <w:r>
              <w:rPr>
                <w:rFonts w:ascii="Times New Roman" w:hAnsi="Times New Roman"/>
                <w:b/>
                <w:sz w:val="20"/>
              </w:rPr>
              <w:t>TOD-SciBERT</w:t>
            </w:r>
          </w:p>
        </w:tc>
        <w:tc>
          <w:tcPr>
            <w:tcW w:type="dxa" w:w="2209"/>
          </w:tcPr>
          <w:p>
            <w:pPr>
              <w:jc w:val="center"/>
            </w:pPr>
            <w:r>
              <w:rPr>
                <w:rFonts w:ascii="Times New Roman" w:hAnsi="Times New Roman"/>
                <w:b/>
                <w:sz w:val="20"/>
              </w:rPr>
              <w:t>Improvement</w:t>
            </w:r>
          </w:p>
        </w:tc>
      </w:tr>
      <w:tr>
        <w:tc>
          <w:tcPr>
            <w:tcW w:type="dxa" w:w="2209"/>
          </w:tcPr>
          <w:p>
            <w:pPr>
              <w:jc w:val="center"/>
            </w:pPr>
            <w:r>
              <w:rPr>
                <w:rFonts w:ascii="Times New Roman" w:hAnsi="Times New Roman"/>
                <w:sz w:val="20"/>
              </w:rPr>
              <w:t>Density</w:t>
            </w:r>
          </w:p>
        </w:tc>
        <w:tc>
          <w:tcPr>
            <w:tcW w:type="dxa" w:w="2209"/>
          </w:tcPr>
          <w:p>
            <w:pPr>
              <w:jc w:val="center"/>
            </w:pPr>
            <w:r>
              <w:rPr>
                <w:rFonts w:ascii="Times New Roman" w:hAnsi="Times New Roman"/>
                <w:sz w:val="20"/>
              </w:rPr>
              <w:t>0.6812</w:t>
            </w:r>
          </w:p>
        </w:tc>
        <w:tc>
          <w:tcPr>
            <w:tcW w:type="dxa" w:w="2209"/>
          </w:tcPr>
          <w:p>
            <w:pPr>
              <w:jc w:val="center"/>
            </w:pPr>
            <w:r>
              <w:rPr>
                <w:rFonts w:ascii="Times New Roman" w:hAnsi="Times New Roman"/>
                <w:sz w:val="20"/>
              </w:rPr>
              <w:t>0.7508</w:t>
            </w:r>
          </w:p>
        </w:tc>
        <w:tc>
          <w:tcPr>
            <w:tcW w:type="dxa" w:w="2209"/>
          </w:tcPr>
          <w:p>
            <w:pPr>
              <w:jc w:val="center"/>
            </w:pPr>
            <w:r>
              <w:rPr>
                <w:rFonts w:ascii="Times New Roman" w:hAnsi="Times New Roman"/>
                <w:sz w:val="20"/>
              </w:rPr>
              <w:t>+0.0696</w:t>
            </w:r>
          </w:p>
        </w:tc>
      </w:tr>
      <w:tr>
        <w:tc>
          <w:tcPr>
            <w:tcW w:type="dxa" w:w="2209"/>
          </w:tcPr>
          <w:p>
            <w:pPr>
              <w:jc w:val="center"/>
            </w:pPr>
            <w:r>
              <w:rPr>
                <w:rFonts w:ascii="Times New Roman" w:hAnsi="Times New Roman"/>
                <w:sz w:val="20"/>
              </w:rPr>
              <w:t>Station Area</w:t>
            </w:r>
          </w:p>
        </w:tc>
        <w:tc>
          <w:tcPr>
            <w:tcW w:type="dxa" w:w="2209"/>
          </w:tcPr>
          <w:p>
            <w:pPr>
              <w:jc w:val="center"/>
            </w:pPr>
            <w:r>
              <w:rPr>
                <w:rFonts w:ascii="Times New Roman" w:hAnsi="Times New Roman"/>
                <w:sz w:val="20"/>
              </w:rPr>
              <w:t>0.6901</w:t>
            </w:r>
          </w:p>
        </w:tc>
        <w:tc>
          <w:tcPr>
            <w:tcW w:type="dxa" w:w="2209"/>
          </w:tcPr>
          <w:p>
            <w:pPr>
              <w:jc w:val="center"/>
            </w:pPr>
            <w:r>
              <w:rPr>
                <w:rFonts w:ascii="Times New Roman" w:hAnsi="Times New Roman"/>
                <w:sz w:val="20"/>
              </w:rPr>
              <w:t>0.7568</w:t>
            </w:r>
          </w:p>
        </w:tc>
        <w:tc>
          <w:tcPr>
            <w:tcW w:type="dxa" w:w="2209"/>
          </w:tcPr>
          <w:p>
            <w:pPr>
              <w:jc w:val="center"/>
            </w:pPr>
            <w:r>
              <w:rPr>
                <w:rFonts w:ascii="Times New Roman" w:hAnsi="Times New Roman"/>
                <w:sz w:val="20"/>
              </w:rPr>
              <w:t>+0.0667</w:t>
            </w:r>
          </w:p>
        </w:tc>
      </w:tr>
      <w:tr>
        <w:tc>
          <w:tcPr>
            <w:tcW w:type="dxa" w:w="2209"/>
          </w:tcPr>
          <w:p>
            <w:pPr>
              <w:jc w:val="center"/>
            </w:pPr>
            <w:r>
              <w:rPr>
                <w:rFonts w:ascii="Times New Roman" w:hAnsi="Times New Roman"/>
                <w:sz w:val="20"/>
              </w:rPr>
              <w:t>Parking</w:t>
            </w:r>
          </w:p>
        </w:tc>
        <w:tc>
          <w:tcPr>
            <w:tcW w:type="dxa" w:w="2209"/>
          </w:tcPr>
          <w:p>
            <w:pPr>
              <w:jc w:val="center"/>
            </w:pPr>
            <w:r>
              <w:rPr>
                <w:rFonts w:ascii="Times New Roman" w:hAnsi="Times New Roman"/>
                <w:sz w:val="20"/>
              </w:rPr>
              <w:t>0.6788</w:t>
            </w:r>
          </w:p>
        </w:tc>
        <w:tc>
          <w:tcPr>
            <w:tcW w:type="dxa" w:w="2209"/>
          </w:tcPr>
          <w:p>
            <w:pPr>
              <w:jc w:val="center"/>
            </w:pPr>
            <w:r>
              <w:rPr>
                <w:rFonts w:ascii="Times New Roman" w:hAnsi="Times New Roman"/>
                <w:sz w:val="20"/>
              </w:rPr>
              <w:t>0.7450</w:t>
            </w:r>
          </w:p>
        </w:tc>
        <w:tc>
          <w:tcPr>
            <w:tcW w:type="dxa" w:w="2209"/>
          </w:tcPr>
          <w:p>
            <w:pPr>
              <w:jc w:val="center"/>
            </w:pPr>
            <w:r>
              <w:rPr>
                <w:rFonts w:ascii="Times New Roman" w:hAnsi="Times New Roman"/>
                <w:sz w:val="20"/>
              </w:rPr>
              <w:t>+0.0662</w:t>
            </w:r>
          </w:p>
        </w:tc>
      </w:tr>
      <w:tr>
        <w:tc>
          <w:tcPr>
            <w:tcW w:type="dxa" w:w="2209"/>
          </w:tcPr>
          <w:p>
            <w:pPr>
              <w:jc w:val="center"/>
            </w:pPr>
            <w:r>
              <w:rPr>
                <w:rFonts w:ascii="Times New Roman" w:hAnsi="Times New Roman"/>
                <w:sz w:val="20"/>
              </w:rPr>
              <w:t>Urban Design</w:t>
            </w:r>
          </w:p>
        </w:tc>
        <w:tc>
          <w:tcPr>
            <w:tcW w:type="dxa" w:w="2209"/>
          </w:tcPr>
          <w:p>
            <w:pPr>
              <w:jc w:val="center"/>
            </w:pPr>
            <w:r>
              <w:rPr>
                <w:rFonts w:ascii="Times New Roman" w:hAnsi="Times New Roman"/>
                <w:sz w:val="20"/>
              </w:rPr>
              <w:t>0.6843</w:t>
            </w:r>
          </w:p>
        </w:tc>
        <w:tc>
          <w:tcPr>
            <w:tcW w:type="dxa" w:w="2209"/>
          </w:tcPr>
          <w:p>
            <w:pPr>
              <w:jc w:val="center"/>
            </w:pPr>
            <w:r>
              <w:rPr>
                <w:rFonts w:ascii="Times New Roman" w:hAnsi="Times New Roman"/>
                <w:sz w:val="20"/>
              </w:rPr>
              <w:t>0.7492</w:t>
            </w:r>
          </w:p>
        </w:tc>
        <w:tc>
          <w:tcPr>
            <w:tcW w:type="dxa" w:w="2209"/>
          </w:tcPr>
          <w:p>
            <w:pPr>
              <w:jc w:val="center"/>
            </w:pPr>
            <w:r>
              <w:rPr>
                <w:rFonts w:ascii="Times New Roman" w:hAnsi="Times New Roman"/>
                <w:sz w:val="20"/>
              </w:rPr>
              <w:t>+0.0649</w:t>
            </w:r>
          </w:p>
        </w:tc>
      </w:tr>
      <w:tr>
        <w:tc>
          <w:tcPr>
            <w:tcW w:type="dxa" w:w="2209"/>
          </w:tcPr>
          <w:p>
            <w:pPr>
              <w:jc w:val="center"/>
            </w:pPr>
            <w:r>
              <w:rPr>
                <w:rFonts w:ascii="Times New Roman" w:hAnsi="Times New Roman"/>
                <w:sz w:val="20"/>
              </w:rPr>
              <w:t>Land Use Mix</w:t>
            </w:r>
          </w:p>
        </w:tc>
        <w:tc>
          <w:tcPr>
            <w:tcW w:type="dxa" w:w="2209"/>
          </w:tcPr>
          <w:p>
            <w:pPr>
              <w:jc w:val="center"/>
            </w:pPr>
            <w:r>
              <w:rPr>
                <w:rFonts w:ascii="Times New Roman" w:hAnsi="Times New Roman"/>
                <w:sz w:val="20"/>
              </w:rPr>
              <w:t>0.6912</w:t>
            </w:r>
          </w:p>
        </w:tc>
        <w:tc>
          <w:tcPr>
            <w:tcW w:type="dxa" w:w="2209"/>
          </w:tcPr>
          <w:p>
            <w:pPr>
              <w:jc w:val="center"/>
            </w:pPr>
            <w:r>
              <w:rPr>
                <w:rFonts w:ascii="Times New Roman" w:hAnsi="Times New Roman"/>
                <w:sz w:val="20"/>
              </w:rPr>
              <w:t>0.7496</w:t>
            </w:r>
          </w:p>
        </w:tc>
        <w:tc>
          <w:tcPr>
            <w:tcW w:type="dxa" w:w="2209"/>
          </w:tcPr>
          <w:p>
            <w:pPr>
              <w:jc w:val="center"/>
            </w:pPr>
            <w:r>
              <w:rPr>
                <w:rFonts w:ascii="Times New Roman" w:hAnsi="Times New Roman"/>
                <w:sz w:val="20"/>
              </w:rPr>
              <w:t>+0.0584</w:t>
            </w:r>
          </w:p>
        </w:tc>
      </w:tr>
      <w:tr>
        <w:tc>
          <w:tcPr>
            <w:tcW w:type="dxa" w:w="2209"/>
          </w:tcPr>
          <w:p>
            <w:pPr>
              <w:jc w:val="center"/>
            </w:pPr>
            <w:r>
              <w:rPr>
                <w:rFonts w:ascii="Times New Roman" w:hAnsi="Times New Roman"/>
                <w:sz w:val="20"/>
              </w:rPr>
              <w:t>Transit Access</w:t>
            </w:r>
          </w:p>
        </w:tc>
        <w:tc>
          <w:tcPr>
            <w:tcW w:type="dxa" w:w="2209"/>
          </w:tcPr>
          <w:p>
            <w:pPr>
              <w:jc w:val="center"/>
            </w:pPr>
            <w:r>
              <w:rPr>
                <w:rFonts w:ascii="Times New Roman" w:hAnsi="Times New Roman"/>
                <w:sz w:val="20"/>
              </w:rPr>
              <w:t>0.6934</w:t>
            </w:r>
          </w:p>
        </w:tc>
        <w:tc>
          <w:tcPr>
            <w:tcW w:type="dxa" w:w="2209"/>
          </w:tcPr>
          <w:p>
            <w:pPr>
              <w:jc w:val="center"/>
            </w:pPr>
            <w:r>
              <w:rPr>
                <w:rFonts w:ascii="Times New Roman" w:hAnsi="Times New Roman"/>
                <w:sz w:val="20"/>
              </w:rPr>
              <w:t>0.7505</w:t>
            </w:r>
          </w:p>
        </w:tc>
        <w:tc>
          <w:tcPr>
            <w:tcW w:type="dxa" w:w="2209"/>
          </w:tcPr>
          <w:p>
            <w:pPr>
              <w:jc w:val="center"/>
            </w:pPr>
            <w:r>
              <w:rPr>
                <w:rFonts w:ascii="Times New Roman" w:hAnsi="Times New Roman"/>
                <w:sz w:val="20"/>
              </w:rPr>
              <w:t>+0.0571</w:t>
            </w:r>
          </w:p>
        </w:tc>
      </w:tr>
      <w:tr>
        <w:tc>
          <w:tcPr>
            <w:tcW w:type="dxa" w:w="2209"/>
          </w:tcPr>
          <w:p>
            <w:pPr>
              <w:jc w:val="center"/>
            </w:pPr>
            <w:r>
              <w:rPr>
                <w:rFonts w:ascii="Times New Roman" w:hAnsi="Times New Roman"/>
                <w:sz w:val="20"/>
              </w:rPr>
              <w:t>Green Space</w:t>
            </w:r>
          </w:p>
        </w:tc>
        <w:tc>
          <w:tcPr>
            <w:tcW w:type="dxa" w:w="2209"/>
          </w:tcPr>
          <w:p>
            <w:pPr>
              <w:jc w:val="center"/>
            </w:pPr>
            <w:r>
              <w:rPr>
                <w:rFonts w:ascii="Times New Roman" w:hAnsi="Times New Roman"/>
                <w:sz w:val="20"/>
              </w:rPr>
              <w:t>0.6876</w:t>
            </w:r>
          </w:p>
        </w:tc>
        <w:tc>
          <w:tcPr>
            <w:tcW w:type="dxa" w:w="2209"/>
          </w:tcPr>
          <w:p>
            <w:pPr>
              <w:jc w:val="center"/>
            </w:pPr>
            <w:r>
              <w:rPr>
                <w:rFonts w:ascii="Times New Roman" w:hAnsi="Times New Roman"/>
                <w:sz w:val="20"/>
              </w:rPr>
              <w:t>0.7420</w:t>
            </w:r>
          </w:p>
        </w:tc>
        <w:tc>
          <w:tcPr>
            <w:tcW w:type="dxa" w:w="2209"/>
          </w:tcPr>
          <w:p>
            <w:pPr>
              <w:jc w:val="center"/>
            </w:pPr>
            <w:r>
              <w:rPr>
                <w:rFonts w:ascii="Times New Roman" w:hAnsi="Times New Roman"/>
                <w:sz w:val="20"/>
              </w:rPr>
              <w:t>+0.0544</w:t>
            </w:r>
          </w:p>
        </w:tc>
      </w:tr>
      <w:tr>
        <w:tc>
          <w:tcPr>
            <w:tcW w:type="dxa" w:w="2209"/>
          </w:tcPr>
          <w:p>
            <w:pPr>
              <w:jc w:val="center"/>
            </w:pPr>
            <w:r>
              <w:rPr>
                <w:rFonts w:ascii="Times New Roman" w:hAnsi="Times New Roman"/>
                <w:sz w:val="20"/>
              </w:rPr>
              <w:t>Walkability</w:t>
            </w:r>
          </w:p>
        </w:tc>
        <w:tc>
          <w:tcPr>
            <w:tcW w:type="dxa" w:w="2209"/>
          </w:tcPr>
          <w:p>
            <w:pPr>
              <w:jc w:val="center"/>
            </w:pPr>
            <w:r>
              <w:rPr>
                <w:rFonts w:ascii="Times New Roman" w:hAnsi="Times New Roman"/>
                <w:sz w:val="20"/>
              </w:rPr>
              <w:t>0.6958</w:t>
            </w:r>
          </w:p>
        </w:tc>
        <w:tc>
          <w:tcPr>
            <w:tcW w:type="dxa" w:w="2209"/>
          </w:tcPr>
          <w:p>
            <w:pPr>
              <w:jc w:val="center"/>
            </w:pPr>
            <w:r>
              <w:rPr>
                <w:rFonts w:ascii="Times New Roman" w:hAnsi="Times New Roman"/>
                <w:sz w:val="20"/>
              </w:rPr>
              <w:t>0.7390</w:t>
            </w:r>
          </w:p>
        </w:tc>
        <w:tc>
          <w:tcPr>
            <w:tcW w:type="dxa" w:w="2209"/>
          </w:tcPr>
          <w:p>
            <w:pPr>
              <w:jc w:val="center"/>
            </w:pPr>
            <w:r>
              <w:rPr>
                <w:rFonts w:ascii="Times New Roman" w:hAnsi="Times New Roman"/>
                <w:sz w:val="20"/>
              </w:rPr>
              <w:t>+0.0432</w:t>
            </w:r>
          </w:p>
        </w:tc>
      </w:tr>
      <w:tr>
        <w:tc>
          <w:tcPr>
            <w:tcW w:type="dxa" w:w="2209"/>
          </w:tcPr>
          <w:p>
            <w:pPr>
              <w:jc w:val="center"/>
            </w:pPr>
            <w:r>
              <w:rPr>
                <w:rFonts w:ascii="Times New Roman" w:hAnsi="Times New Roman"/>
                <w:sz w:val="20"/>
              </w:rPr>
              <w:t>Cycling</w:t>
            </w:r>
          </w:p>
        </w:tc>
        <w:tc>
          <w:tcPr>
            <w:tcW w:type="dxa" w:w="2209"/>
          </w:tcPr>
          <w:p>
            <w:pPr>
              <w:jc w:val="center"/>
            </w:pPr>
            <w:r>
              <w:rPr>
                <w:rFonts w:ascii="Times New Roman" w:hAnsi="Times New Roman"/>
                <w:sz w:val="20"/>
              </w:rPr>
              <w:t>0.6987</w:t>
            </w:r>
          </w:p>
        </w:tc>
        <w:tc>
          <w:tcPr>
            <w:tcW w:type="dxa" w:w="2209"/>
          </w:tcPr>
          <w:p>
            <w:pPr>
              <w:jc w:val="center"/>
            </w:pPr>
            <w:r>
              <w:rPr>
                <w:rFonts w:ascii="Times New Roman" w:hAnsi="Times New Roman"/>
                <w:sz w:val="20"/>
              </w:rPr>
              <w:t>0.7395</w:t>
            </w:r>
          </w:p>
        </w:tc>
        <w:tc>
          <w:tcPr>
            <w:tcW w:type="dxa" w:w="2209"/>
          </w:tcPr>
          <w:p>
            <w:pPr>
              <w:jc w:val="center"/>
            </w:pPr>
            <w:r>
              <w:rPr>
                <w:rFonts w:ascii="Times New Roman" w:hAnsi="Times New Roman"/>
                <w:sz w:val="20"/>
              </w:rPr>
              <w:t>+0.0408</w:t>
            </w:r>
          </w:p>
        </w:tc>
      </w:tr>
      <w:tr>
        <w:tc>
          <w:tcPr>
            <w:tcW w:type="dxa" w:w="2209"/>
          </w:tcPr>
          <w:p>
            <w:pPr>
              <w:jc w:val="center"/>
            </w:pPr>
            <w:r>
              <w:rPr>
                <w:rFonts w:ascii="Times New Roman" w:hAnsi="Times New Roman"/>
                <w:sz w:val="20"/>
              </w:rPr>
              <w:t>Affordability</w:t>
            </w:r>
          </w:p>
        </w:tc>
        <w:tc>
          <w:tcPr>
            <w:tcW w:type="dxa" w:w="2209"/>
          </w:tcPr>
          <w:p>
            <w:pPr>
              <w:jc w:val="center"/>
            </w:pPr>
            <w:r>
              <w:rPr>
                <w:rFonts w:ascii="Times New Roman" w:hAnsi="Times New Roman"/>
                <w:sz w:val="20"/>
              </w:rPr>
              <w:t>0.7014</w:t>
            </w:r>
          </w:p>
        </w:tc>
        <w:tc>
          <w:tcPr>
            <w:tcW w:type="dxa" w:w="2209"/>
          </w:tcPr>
          <w:p>
            <w:pPr>
              <w:jc w:val="center"/>
            </w:pPr>
            <w:r>
              <w:rPr>
                <w:rFonts w:ascii="Times New Roman" w:hAnsi="Times New Roman"/>
                <w:sz w:val="20"/>
              </w:rPr>
              <w:t>0.7400</w:t>
            </w:r>
          </w:p>
        </w:tc>
        <w:tc>
          <w:tcPr>
            <w:tcW w:type="dxa" w:w="2209"/>
          </w:tcPr>
          <w:p>
            <w:pPr>
              <w:jc w:val="center"/>
            </w:pPr>
            <w:r>
              <w:rPr>
                <w:rFonts w:ascii="Times New Roman" w:hAnsi="Times New Roman"/>
                <w:sz w:val="20"/>
              </w:rPr>
              <w:t>+0.0386</w:t>
            </w:r>
          </w:p>
        </w:tc>
      </w:tr>
      <w:tr>
        <w:tc>
          <w:tcPr>
            <w:tcW w:type="dxa" w:w="2209"/>
          </w:tcPr>
          <w:p>
            <w:pPr>
              <w:jc w:val="center"/>
            </w:pPr>
            <w:r>
              <w:rPr>
                <w:rFonts w:ascii="Times New Roman" w:hAnsi="Times New Roman"/>
                <w:sz w:val="20"/>
              </w:rPr>
              <w:t>Overall</w:t>
            </w:r>
          </w:p>
        </w:tc>
        <w:tc>
          <w:tcPr>
            <w:tcW w:type="dxa" w:w="2209"/>
          </w:tcPr>
          <w:p>
            <w:pPr>
              <w:jc w:val="center"/>
            </w:pPr>
            <w:r>
              <w:rPr>
                <w:rFonts w:ascii="Times New Roman" w:hAnsi="Times New Roman"/>
                <w:sz w:val="20"/>
              </w:rPr>
              <w:t>0.7046</w:t>
            </w:r>
          </w:p>
        </w:tc>
        <w:tc>
          <w:tcPr>
            <w:tcW w:type="dxa" w:w="2209"/>
          </w:tcPr>
          <w:p>
            <w:pPr>
              <w:jc w:val="center"/>
            </w:pPr>
            <w:r>
              <w:rPr>
                <w:rFonts w:ascii="Times New Roman" w:hAnsi="Times New Roman"/>
                <w:sz w:val="20"/>
              </w:rPr>
              <w:t>0.7606</w:t>
            </w:r>
          </w:p>
        </w:tc>
        <w:tc>
          <w:tcPr>
            <w:tcW w:type="dxa" w:w="2209"/>
          </w:tcPr>
          <w:p>
            <w:pPr>
              <w:jc w:val="center"/>
            </w:pPr>
            <w:r>
              <w:rPr>
                <w:rFonts w:ascii="Times New Roman" w:hAnsi="Times New Roman"/>
                <w:sz w:val="20"/>
              </w:rPr>
              <w:t>+0.0560 (+7.9%)</w:t>
            </w:r>
          </w:p>
        </w:tc>
      </w:tr>
    </w:tbl>
    <w:p>
      <w:pPr>
        <w:spacing w:after="120"/>
      </w:pPr>
    </w:p>
    <w:p>
      <w:pPr>
        <w:spacing w:after="120" w:before="0"/>
        <w:ind w:firstLine="283"/>
      </w:pPr>
      <w:r>
        <w:rPr>
          <w:rFonts w:ascii="Times New Roman" w:hAnsi="Times New Roman"/>
          <w:b w:val="0"/>
          <w:i w:val="0"/>
          <w:sz w:val="22"/>
        </w:rPr>
        <w:t>TOD-SciBERT outperforms SciBERT on all ten aspects. The largest gains appear on density (+0.070), station area design (+0.067), and parking reduction (+0.066) — concepts whose vocabulary in TOD research diverges sharply from general scientific usage. The smallest gains are on affordability (+0.039) and cycling (+0.041), where language overlaps more with general scientific writing. TOD-SciBERT also retrieved 45.3% sentences not returned by SciBERT for the same queries, indicating the two models are not simply reranking an identical candidate set.</w:t>
      </w:r>
    </w:p>
    <w:p>
      <w:pPr>
        <w:pStyle w:val="Heading2"/>
        <w:spacing w:before="240" w:after="120"/>
      </w:pPr>
      <w:r>
        <w:rPr>
          <w:rFonts w:ascii="Times New Roman" w:hAnsi="Times New Roman"/>
          <w:b/>
          <w:color w:val="1A5376"/>
          <w:sz w:val="24"/>
        </w:rPr>
        <w:t>4.3 Embedding Space Analysis</w:t>
      </w:r>
    </w:p>
    <w:p>
      <w:pPr>
        <w:spacing w:after="120" w:before="0"/>
        <w:ind w:firstLine="283"/>
      </w:pPr>
      <w:r>
        <w:rPr>
          <w:rFonts w:ascii="Times New Roman" w:hAnsi="Times New Roman"/>
          <w:b w:val="0"/>
          <w:i w:val="0"/>
          <w:sz w:val="22"/>
        </w:rPr>
        <w:t>t-SNE visualisation of 41 terms reveals a clear structural difference between the two models (Figure 1). In SciBERT, TOD-specific terms are scattered across the embedding space with a mean cluster spread of 16.4. In TOD-SciBERT, the same terms pull together to a spread of 6.1 — a 62.9% reduction. Semantically related subgroups emerge that are absent in SciBERT: transit infrastructure terms (transit station, rail station, bus rapid transit) form one sub-cluster; active mobility terms (walkability, pedestrian, cycling, bicycle lane) form another; land use regulation terms (mixed-use, density, floor area ratio, zoning) a third. Non-TOD scientific terms remain peripheral in both models, confirming that the adaptation did not degrade general scientific language representations.</w:t>
      </w:r>
    </w:p>
    <w:p>
      <w:pPr>
        <w:spacing w:after="120" w:before="0"/>
      </w:pPr>
      <w:r>
        <w:rPr>
          <w:rFonts w:ascii="Times New Roman" w:hAnsi="Times New Roman"/>
          <w:b w:val="0"/>
          <w:i/>
          <w:sz w:val="22"/>
        </w:rPr>
        <w:t>Figure 1. t-SNE visualisation of word embeddings. Left: SciBERT (cluster spread = 16.4). Right: TOD-SciBERT (cluster spread = 6.1). TOD-specific terms are shown in red; non-TOD scientific terms in grey. TOD-SciBERT exhibits 62.9% tighter clustering.</w:t>
      </w:r>
    </w:p>
    <w:p/>
    <w:p>
      <w:pPr>
        <w:pStyle w:val="Heading1"/>
        <w:spacing w:before="240" w:after="120"/>
      </w:pPr>
      <w:r>
        <w:rPr>
          <w:rFonts w:ascii="Times New Roman" w:hAnsi="Times New Roman"/>
          <w:b/>
          <w:color w:val="1A5376"/>
          <w:sz w:val="26"/>
        </w:rPr>
        <w:t>5. Discussion</w:t>
      </w:r>
    </w:p>
    <w:p>
      <w:pPr>
        <w:spacing w:after="120" w:before="0"/>
        <w:ind w:firstLine="283"/>
      </w:pPr>
      <w:r>
        <w:rPr>
          <w:rFonts w:ascii="Times New Roman" w:hAnsi="Times New Roman"/>
          <w:b w:val="0"/>
          <w:i w:val="0"/>
          <w:sz w:val="22"/>
        </w:rPr>
        <w:t>Three numbers characterise what DAPT achieved here: 37.3% perplexity reduction, 7.9 percentage points better retrieval, and 62.9% tighter embedding clusters. Together they describe a model that learned the semantic structure of TOD research — not just the presence of TOD words, but their relationships to each other.</w:t>
      </w:r>
    </w:p>
    <w:p>
      <w:pPr>
        <w:spacing w:after="120" w:before="0"/>
        <w:ind w:firstLine="283"/>
      </w:pPr>
      <w:r>
        <w:rPr>
          <w:rFonts w:ascii="Times New Roman" w:hAnsi="Times New Roman"/>
          <w:b w:val="0"/>
          <w:i w:val="0"/>
          <w:sz w:val="22"/>
        </w:rPr>
        <w:t>The pattern of retrieval gains by aspect is informative. Density and station area design improved most; affordability and cycling improved least. This makes sense. In TOD research, 'density' specifically refers to residential and commercial floor area ratios near transit stations — a usage that diverges sharply from how the word appears in general scientific writing (population density in epidemiology, network density in graph theory, optical density in spectroscopy). Cycling, by contrast, is used fairly consistently across scientific disciplines. DAPT moved the embeddings of high-divergence terms more than low-divergence terms, which is the expected pattern under the DAPT framework.</w:t>
      </w:r>
    </w:p>
    <w:p>
      <w:pPr>
        <w:spacing w:after="120" w:before="0"/>
        <w:ind w:firstLine="283"/>
      </w:pPr>
      <w:r>
        <w:rPr>
          <w:rFonts w:ascii="Times New Roman" w:hAnsi="Times New Roman"/>
          <w:b w:val="0"/>
          <w:i w:val="0"/>
          <w:sz w:val="22"/>
        </w:rPr>
        <w:t>The 38.5-minute training time on a single consumer GPU matters for practical reproducibility. Researchers wanting to extend TOD-SciBERT — to a specific metropolitan region, a specific transit mode, or a more recent publication window — can do so without institutional computing resources. The corpus construction pipeline and training code are available alongside the model weights.</w:t>
      </w:r>
    </w:p>
    <w:p>
      <w:pPr>
        <w:spacing w:after="120" w:before="0"/>
        <w:ind w:firstLine="283"/>
      </w:pPr>
      <w:r>
        <w:rPr>
          <w:rFonts w:ascii="Times New Roman" w:hAnsi="Times New Roman"/>
          <w:b w:val="0"/>
          <w:i w:val="0"/>
          <w:sz w:val="22"/>
        </w:rPr>
        <w:t>Two limitations deserve acknowledgment. First, retrieval evaluation used cosine similarity of embedded sentences as a proxy for relevance quality. This is standard in dense retrieval benchmarking but does not directly measure whether retrieved sentences are useful for a specific research question. Expert evaluation of retrieval outputs, conducted as part of this study and reported separately, provides complementary human judgment. Second, 154 papers is a modest corpus by pre-training standards. Gururangan et al. (2020) demonstrate gains even with small in-domain corpora, and our results confirm this, but a larger corpus would likely yield further improvements, particularly for lower-frequency TOD concepts such as transit-oriented governance and value capture financing.</w:t>
      </w:r>
    </w:p>
    <w:p>
      <w:pPr>
        <w:pStyle w:val="Heading1"/>
        <w:spacing w:before="240" w:after="120"/>
      </w:pPr>
      <w:r>
        <w:rPr>
          <w:rFonts w:ascii="Times New Roman" w:hAnsi="Times New Roman"/>
          <w:b/>
          <w:color w:val="1A5376"/>
          <w:sz w:val="26"/>
        </w:rPr>
        <w:t>6. Conclusion</w:t>
      </w:r>
    </w:p>
    <w:p>
      <w:pPr>
        <w:spacing w:after="120" w:before="0"/>
        <w:ind w:firstLine="283"/>
      </w:pPr>
      <w:r>
        <w:rPr>
          <w:rFonts w:ascii="Times New Roman" w:hAnsi="Times New Roman"/>
          <w:b w:val="0"/>
          <w:i w:val="0"/>
          <w:sz w:val="22"/>
        </w:rPr>
        <w:t>TOD-SciBERT is a domain-adapted language model for TOD research, built by continued masked language modelling on 154 peer-reviewed papers. It reduces perplexity on TOD text by 37.3%, improves semantic retrieval across ten sustainability dimensions by 7.9 percentage points, and produces embedding spaces where TOD terminology clusters 62.9% more tightly. Training took 38.5 minutes on consumer hardware.</w:t>
      </w:r>
    </w:p>
    <w:p>
      <w:pPr>
        <w:spacing w:after="120" w:before="0"/>
        <w:ind w:firstLine="283"/>
      </w:pPr>
      <w:r>
        <w:rPr>
          <w:rFonts w:ascii="Times New Roman" w:hAnsi="Times New Roman"/>
          <w:b w:val="0"/>
          <w:i w:val="0"/>
          <w:sz w:val="22"/>
        </w:rPr>
        <w:t>The model is intended as infrastructure for future TOD computational research. Tasks that currently rely on SciBERT or general embeddings — factor extraction, citation classification, trend detection, systematic review automation — can substitute TOD-SciBERT and expect improved sensitivity to TOD-specific language. The training corpus, pre-processing code, and model weights are publicly available. We encourage researchers to extend the training corpus as new TOD literature accumulates.</w:t>
      </w:r>
    </w:p>
    <w:p>
      <w:pPr>
        <w:pStyle w:val="Heading1"/>
        <w:spacing w:before="240" w:after="120"/>
      </w:pPr>
      <w:r>
        <w:rPr>
          <w:rFonts w:ascii="Times New Roman" w:hAnsi="Times New Roman"/>
          <w:b/>
          <w:color w:val="1A5376"/>
          <w:sz w:val="26"/>
        </w:rPr>
        <w:t>References</w:t>
      </w:r>
    </w:p>
    <w:p>
      <w:pPr>
        <w:pStyle w:val="ListBullet"/>
        <w:spacing w:after="80"/>
        <w:ind w:hanging="283" w:left="283"/>
      </w:pPr>
      <w:r>
        <w:rPr>
          <w:sz w:val="20"/>
        </w:rPr>
        <w:t>Beltagy, I., Lo, K., &amp; Cohan, A. (2019). SciBERT: A pretrained language model for scientific text. Proceedings of EMNLP 2019, 3615–3620.</w:t>
      </w:r>
    </w:p>
    <w:p>
      <w:pPr>
        <w:pStyle w:val="ListBullet"/>
        <w:spacing w:after="80"/>
        <w:ind w:hanging="283" w:left="283"/>
      </w:pPr>
      <w:r>
        <w:rPr>
          <w:sz w:val="20"/>
        </w:rPr>
        <w:t>Calthorpe, P. (1993). The next American metropolis: Ecology, community, and the American dream. Princeton Architectural Press.</w:t>
      </w:r>
    </w:p>
    <w:p>
      <w:pPr>
        <w:pStyle w:val="ListBullet"/>
        <w:spacing w:after="80"/>
        <w:ind w:hanging="283" w:left="283"/>
      </w:pPr>
      <w:r>
        <w:rPr>
          <w:sz w:val="20"/>
        </w:rPr>
        <w:t>Cervero, R., &amp; Kockelman, K. (1997). Travel demand and the 3Ds: Density, diversity, and design. Transportation Research Part D, 2(3), 199–219.</w:t>
      </w:r>
    </w:p>
    <w:p>
      <w:pPr>
        <w:pStyle w:val="ListBullet"/>
        <w:spacing w:after="80"/>
        <w:ind w:hanging="283" w:left="283"/>
      </w:pPr>
      <w:r>
        <w:rPr>
          <w:sz w:val="20"/>
        </w:rPr>
        <w:t>Chalkidis, I., Fergadiotis, M., Malakasiotis, P., Aletras, N., &amp; Androutsopoulos, I. (2020). LEGAL-BERT: The muppets straight out of law school. Findings of EMNLP 2020, 2898–2904.</w:t>
      </w:r>
    </w:p>
    <w:p>
      <w:pPr>
        <w:pStyle w:val="ListBullet"/>
        <w:spacing w:after="80"/>
        <w:ind w:hanging="283" w:left="283"/>
      </w:pPr>
      <w:r>
        <w:rPr>
          <w:sz w:val="20"/>
        </w:rPr>
        <w:t>Chatman, D. G. (2013). Does TOD need the T? Journal of the American Planning Association, 79(1), 17–31.</w:t>
      </w:r>
    </w:p>
    <w:p>
      <w:pPr>
        <w:pStyle w:val="ListBullet"/>
        <w:spacing w:after="80"/>
        <w:ind w:hanging="283" w:left="283"/>
      </w:pPr>
      <w:r>
        <w:rPr>
          <w:sz w:val="20"/>
        </w:rPr>
        <w:t>Devlin, J., Chang, M. W., Lee, K., &amp; Toutanova, K. (2019). BERT: Pre-training of deep bidirectional transformers for language understanding. Proceedings of NAACL 2019, 4171–4186.</w:t>
      </w:r>
    </w:p>
    <w:p>
      <w:pPr>
        <w:pStyle w:val="ListBullet"/>
        <w:spacing w:after="80"/>
        <w:ind w:hanging="283" w:left="283"/>
      </w:pPr>
      <w:r>
        <w:rPr>
          <w:sz w:val="20"/>
        </w:rPr>
        <w:t>Gupta, S., Zaki, M., &amp; Krishnan, N. M. A. (2022). MatSciBERT: A materials domain language model for text mining and information extraction. npj Computational Materials, 8, 102.</w:t>
      </w:r>
    </w:p>
    <w:p>
      <w:pPr>
        <w:pStyle w:val="ListBullet"/>
        <w:spacing w:after="80"/>
        <w:ind w:hanging="283" w:left="283"/>
      </w:pPr>
      <w:r>
        <w:rPr>
          <w:sz w:val="20"/>
        </w:rPr>
        <w:t>Gururangan, S., Marasović, A., Swayamdipta, S., Lo, K., Beltagy, I., Downey, D., &amp; Smith, N. A. (2020). Don't stop pretraining: Adapt language models to domains and tasks. Proceedings of ACL 2020, 8342–8360.</w:t>
      </w:r>
    </w:p>
    <w:p>
      <w:pPr>
        <w:pStyle w:val="ListBullet"/>
        <w:spacing w:after="80"/>
        <w:ind w:hanging="283" w:left="283"/>
      </w:pPr>
      <w:r>
        <w:rPr>
          <w:sz w:val="20"/>
        </w:rPr>
        <w:t>Ibraeva, A., Correia, G. H. A., Silva, C., &amp; Antunes, A. P. (2020). Transit-oriented development: A review of research achievements and challenges. Transportation Research Part A, 132, 110–130.</w:t>
      </w:r>
    </w:p>
    <w:p>
      <w:pPr>
        <w:pStyle w:val="ListBullet"/>
        <w:spacing w:after="80"/>
        <w:ind w:hanging="283" w:left="283"/>
      </w:pPr>
      <w:r>
        <w:rPr>
          <w:sz w:val="20"/>
        </w:rPr>
        <w:t>Kamruzzaman, M., Baker, D., Washington, S., &amp; Turrell, G. (2014). Advance transit oriented development typology: Case study in Brisbane, Australia. Journal of Transport Geography, 34, 54–70.</w:t>
      </w:r>
    </w:p>
    <w:p>
      <w:pPr>
        <w:pStyle w:val="ListBullet"/>
        <w:spacing w:after="80"/>
        <w:ind w:hanging="283" w:left="283"/>
      </w:pPr>
      <w:r>
        <w:rPr>
          <w:sz w:val="20"/>
        </w:rPr>
        <w:t>Lee, J., Yoon, W., Kim, S., Kim, D., Kim, S., So, C. H., &amp; Kang, J. (2020). BioBERT: A pre-trained biomedical language representation model for biomedical text mining. Bioinformatics, 36(4), 1234–1240.</w:t>
      </w:r>
    </w:p>
    <w:p>
      <w:pPr>
        <w:pStyle w:val="ListBullet"/>
        <w:spacing w:after="80"/>
        <w:ind w:hanging="283" w:left="283"/>
      </w:pPr>
      <w:r>
        <w:rPr>
          <w:sz w:val="20"/>
        </w:rPr>
        <w:t>Padeiro, M., Louro, A., &amp; da Costa, N. M. (2019). Transit-oriented development and gentrification: A systematic review. Transport Reviews, 39(6), 733–754.</w:t>
      </w:r>
    </w:p>
    <w:p>
      <w:pPr>
        <w:pStyle w:val="ListBullet"/>
        <w:spacing w:after="80"/>
        <w:ind w:hanging="283" w:left="283"/>
      </w:pPr>
      <w:r>
        <w:rPr>
          <w:sz w:val="20"/>
        </w:rPr>
        <w:t>Papa, E., Silva, C., te Brömmelstroet, M., &amp; Hull, A. (2017). Accessibility instruments for planning practice. Transport Reviews, 37(1), 107–130.</w:t>
      </w:r>
    </w:p>
    <w:p>
      <w:pPr>
        <w:pStyle w:val="ListBullet"/>
        <w:spacing w:after="80"/>
        <w:ind w:hanging="283" w:left="283"/>
      </w:pPr>
      <w:r>
        <w:rPr>
          <w:sz w:val="20"/>
        </w:rPr>
        <w:t>Trewartha, A., Walker, N., Huo, H., Lee, S., Cruse, K., Dagdelen, J., &amp; Jain, A. (2022). Quantifying the advantage of domain-specific pre-training on named entity recognition tasks in materials science. Patterns, 3(4), 100488.</w:t>
      </w:r>
    </w:p>
    <w:p>
      <w:pPr>
        <w:pStyle w:val="ListBullet"/>
        <w:spacing w:after="80"/>
        <w:ind w:hanging="283" w:left="283"/>
      </w:pPr>
      <w:r>
        <w:rPr>
          <w:sz w:val="20"/>
        </w:rPr>
        <w:t>Vaswani, A., Shazeer, N., Parmar, N., Uszkoreit, J., Jones, L., Gomez, A. N., &amp; Polosukhin, I. (2017). Attention is all you need. Advances in Neural Information Processing Systems, 30.</w:t>
      </w:r>
    </w:p>
    <w:p>
      <w:pPr>
        <w:pStyle w:val="ListBullet"/>
        <w:spacing w:after="80"/>
        <w:ind w:hanging="283" w:left="283"/>
      </w:pPr>
      <w:r>
        <w:rPr>
          <w:sz w:val="20"/>
        </w:rPr>
        <w:t>Zhou, X., Jeong, B., &amp; Chapple, K. (2025). A large language model-based chatbot system framework for urban planners. Expert Systems with Applications, 300, 130307.</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