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A4A"/>
          <w:sz w:val="48"/>
        </w:rPr>
        <w:t>MatriWatch — Complete Atomic-Level Architecture Reference</w:t>
      </w:r>
    </w:p>
    <w:p>
      <w:pPr>
        <w:jc w:val="center"/>
      </w:pPr>
      <w:r>
        <w:rPr>
          <w:i/>
          <w:color w:val="E87A2E"/>
          <w:sz w:val="26"/>
        </w:rPr>
        <w:t>Dual-Scale Fine-Grained Postpartum Depression Screening Using a Score-Free Task-Adaptive Hybrid Framework</w:t>
      </w:r>
    </w:p>
    <w:p>
      <w:pPr>
        <w:jc w:val="center"/>
      </w:pPr>
      <w:r>
        <w:rPr>
          <w:sz w:val="21"/>
        </w:rPr>
        <w:t>Authors: Arnob Aich Anurag, Shamiul Islam, Sadia Sultana — Team MatriWatch</w:t>
      </w:r>
    </w:p>
    <w:p>
      <w:pPr>
        <w:jc w:val="center"/>
      </w:pPr>
      <w:r>
        <w:rPr>
          <w:sz w:val="21"/>
        </w:rPr>
        <w:t>Event: Research Symposium 2.0, National Abstract Competition, AUST IEOM Student Chapter</w:t>
      </w:r>
    </w:p>
    <w:p>
      <w:pPr>
        <w:jc w:val="center"/>
      </w:pPr>
      <w:r>
        <w:rPr>
          <w:sz w:val="21"/>
        </w:rPr>
        <w:t>Document purpose: a complete, plain-language, every-detail technical reference of the model architecture</w:t>
      </w:r>
    </w:p>
    <w:p/>
    <w:p>
      <w:r>
        <w:br w:type="page"/>
      </w:r>
    </w:p>
    <w:p>
      <w:pPr>
        <w:pStyle w:val="Heading1"/>
      </w:pPr>
      <w:r>
        <w:t>0. How to Read This Document</w:t>
      </w:r>
    </w:p>
    <w:p>
      <w:r>
        <w:t>This document is written so that every number, every layer, and every design choice in the MatriWatch postpartum depression (PPD) screening system is explained in plain language, with no detail skipped. Wherever a number comes directly from the saved model files in the project (the .pth checkpoints and .joblib model files), it is reported exactly as found. Wherever a value is a standard convention that is not literally stored in the saved file (for example, the exact dropout probability, since dropout layers carry no learnable weights), this is stated honestly as an assumption rather than presented as a measured fact.</w:t>
      </w:r>
    </w:p>
    <w:p>
      <w:pPr>
        <w:pStyle w:val="ListBullet"/>
      </w:pPr>
      <w:r>
        <w:t>Section 1–2: the problem, the goal, and the people behind the research.</w:t>
      </w:r>
    </w:p>
    <w:p>
      <w:pPr>
        <w:pStyle w:val="ListBullet"/>
      </w:pPr>
      <w:r>
        <w:t>Section 3: the dataset, atom by atom — every one of the 46 input questions used by the model.</w:t>
      </w:r>
    </w:p>
    <w:p>
      <w:pPr>
        <w:pStyle w:val="ListBullet"/>
      </w:pPr>
      <w:r>
        <w:t>Section 4: the exact preprocessing pipeline, step by step.</w:t>
      </w:r>
    </w:p>
    <w:p>
      <w:pPr>
        <w:pStyle w:val="ListBullet"/>
      </w:pPr>
      <w:r>
        <w:t>Section 5: the Attention-Based 1D-CNN branch — every layer, every shape, every parameter count.</w:t>
      </w:r>
    </w:p>
    <w:p>
      <w:pPr>
        <w:pStyle w:val="ListBullet"/>
      </w:pPr>
      <w:r>
        <w:t>Section 6: the Tuned RBF-SVM branch — every hyperparameter and support-vector count.</w:t>
      </w:r>
    </w:p>
    <w:p>
      <w:pPr>
        <w:pStyle w:val="ListBullet"/>
      </w:pPr>
      <w:r>
        <w:t>Section 7: how the system decides which branch to trust (the Task-Adaptive Selector).</w:t>
      </w:r>
    </w:p>
    <w:p>
      <w:pPr>
        <w:pStyle w:val="ListBullet"/>
      </w:pPr>
      <w:r>
        <w:t>Section 8–9: the final outputs, the measured accuracy, and what the figures show.</w:t>
      </w:r>
    </w:p>
    <w:p>
      <w:pPr>
        <w:pStyle w:val="ListBullet"/>
      </w:pPr>
      <w:r>
        <w:t>Section 10: a plain-English glossary of every technical term used.</w:t>
      </w:r>
    </w:p>
    <w:p>
      <w:pPr>
        <w:pStyle w:val="Heading1"/>
      </w:pPr>
      <w:r>
        <w:t>1. Project Identity</w:t>
      </w:r>
    </w:p>
    <w:tbl>
      <w:tblPr>
        <w:tblStyle w:val="LightGrid-Accent1"/>
        <w:tblW w:type="auto" w:w="0"/>
        <w:tblLook w:firstColumn="1" w:firstRow="1" w:lastColumn="0" w:lastRow="0" w:noHBand="0" w:noVBand="1" w:val="04A0"/>
      </w:tblPr>
      <w:tblGrid>
        <w:gridCol w:w="4968"/>
        <w:gridCol w:w="4968"/>
      </w:tblGrid>
      <w:tr>
        <w:tc>
          <w:tcPr>
            <w:tcW w:type="dxa" w:w="4968"/>
          </w:tcPr>
          <w:p>
            <w:r>
              <w:rPr>
                <w:b/>
              </w:rPr>
              <w:t>Field</w:t>
            </w:r>
          </w:p>
        </w:tc>
        <w:tc>
          <w:tcPr>
            <w:tcW w:type="dxa" w:w="4968"/>
          </w:tcPr>
          <w:p>
            <w:r>
              <w:rPr>
                <w:b/>
              </w:rPr>
              <w:t>Value</w:t>
            </w:r>
          </w:p>
        </w:tc>
      </w:tr>
      <w:tr>
        <w:tc>
          <w:tcPr>
            <w:tcW w:type="dxa" w:w="4968"/>
          </w:tcPr>
          <w:p>
            <w:r>
              <w:t>Title</w:t>
            </w:r>
          </w:p>
        </w:tc>
        <w:tc>
          <w:tcPr>
            <w:tcW w:type="dxa" w:w="4968"/>
          </w:tcPr>
          <w:p>
            <w:r>
              <w:t>Dual-Scale Fine-Grained Screening of Postpartum Depression Using a Score-Free Task-Adaptive Hybrid Framework in Bangladesh</w:t>
            </w:r>
          </w:p>
        </w:tc>
      </w:tr>
      <w:tr>
        <w:tc>
          <w:tcPr>
            <w:tcW w:type="dxa" w:w="4968"/>
          </w:tcPr>
          <w:p>
            <w:r>
              <w:t>Team</w:t>
            </w:r>
          </w:p>
        </w:tc>
        <w:tc>
          <w:tcPr>
            <w:tcW w:type="dxa" w:w="4968"/>
          </w:tcPr>
          <w:p>
            <w:r>
              <w:t>Team MatriWatch — Arnob Aich Anurag, Shamiul Islam, Sadia Sultana</w:t>
            </w:r>
          </w:p>
        </w:tc>
      </w:tr>
      <w:tr>
        <w:tc>
          <w:tcPr>
            <w:tcW w:type="dxa" w:w="4968"/>
          </w:tcPr>
          <w:p>
            <w:r>
              <w:t>Keywords</w:t>
            </w:r>
          </w:p>
        </w:tc>
        <w:tc>
          <w:tcPr>
            <w:tcW w:type="dxa" w:w="4968"/>
          </w:tcPr>
          <w:p>
            <w:r>
              <w:t>Postpartum Depression, PHQ-9, EPDS, 1D-CNN, Bangladesh</w:t>
            </w:r>
          </w:p>
        </w:tc>
      </w:tr>
      <w:tr>
        <w:tc>
          <w:tcPr>
            <w:tcW w:type="dxa" w:w="4968"/>
          </w:tcPr>
          <w:p>
            <w:r>
              <w:t>Competition</w:t>
            </w:r>
          </w:p>
        </w:tc>
        <w:tc>
          <w:tcPr>
            <w:tcW w:type="dxa" w:w="4968"/>
          </w:tcPr>
          <w:p>
            <w:r>
              <w:t>Research Symposium 2.0 — National Abstract Competition (AUST IEOM Student Chapter)</w:t>
            </w:r>
          </w:p>
        </w:tc>
      </w:tr>
      <w:tr>
        <w:tc>
          <w:tcPr>
            <w:tcW w:type="dxa" w:w="4968"/>
          </w:tcPr>
          <w:p>
            <w:r>
              <w:t>Cohort</w:t>
            </w:r>
          </w:p>
        </w:tc>
        <w:tc>
          <w:tcPr>
            <w:tcW w:type="dxa" w:w="4968"/>
          </w:tcPr>
          <w:p>
            <w:r>
              <w:t>800 postpartum women, Bangladesh-focused</w:t>
            </w:r>
          </w:p>
        </w:tc>
      </w:tr>
      <w:tr>
        <w:tc>
          <w:tcPr>
            <w:tcW w:type="dxa" w:w="4968"/>
          </w:tcPr>
          <w:p>
            <w:r>
              <w:t>Two prediction targets</w:t>
            </w:r>
          </w:p>
        </w:tc>
        <w:tc>
          <w:tcPr>
            <w:tcW w:type="dxa" w:w="4968"/>
          </w:tcPr>
          <w:p>
            <w:r>
              <w:t>PHQ-9 severity (6 classes) and EPDS risk level (3 classes: Low / Medium / High)</w:t>
            </w:r>
          </w:p>
        </w:tc>
      </w:tr>
    </w:tbl>
    <w:p/>
    <w:p>
      <w:pPr>
        <w:pStyle w:val="Heading1"/>
      </w:pPr>
      <w:r>
        <w:t>2. The Clinical Problem and the Research Goal</w:t>
      </w:r>
    </w:p>
    <w:p>
      <w:r>
        <w:t>Postpartum depression (PPD) affects mothers, infants, and family well-being, but in low-resource settings such as Bangladesh, early detection is still limited. Standard screening tools — the PHQ-9 (Patient Health Questionnaire-9) and the EPDS (Edinburgh Postnatal Depression Scale) — are widely used, but most prior machine-learning studies only do binary detection (depressed vs. not depressed) or simply re-predict the raw questionnaire total score. MatriWatch instead targets fine-grained, multi-class severity prediction for both scales at once, using a single shared set of psychosocial and clinical survey answers, while deliberately removing the raw PHQ-9 and EPDS numeric scores from the input features (a 'score-free' setting) so that the model must learn from the underlying life circumstances rather than from the questionnaire arithmetic itself.</w:t>
      </w:r>
    </w:p>
    <w:p>
      <w:pPr>
        <w:pStyle w:val="ListBullet"/>
      </w:pPr>
      <w:r>
        <w:t>Build a Bangladesh-focused postpartum depression screening model.</w:t>
      </w:r>
    </w:p>
    <w:p>
      <w:pPr>
        <w:pStyle w:val="ListBullet"/>
      </w:pPr>
      <w:r>
        <w:t>Predict PHQ-9 severity (6 classes) and EPDS risk level (3 classes).</w:t>
      </w:r>
    </w:p>
    <w:p>
      <w:pPr>
        <w:pStyle w:val="ListBullet"/>
      </w:pPr>
      <w:r>
        <w:t>Compare an Attention-based 1D-CNN branch against a tuned RBF-SVM branch.</w:t>
      </w:r>
    </w:p>
    <w:p>
      <w:pPr>
        <w:pStyle w:val="ListBullet"/>
      </w:pPr>
      <w:r>
        <w:t>Handle missing values and class imbalance correctly.</w:t>
      </w:r>
    </w:p>
    <w:p>
      <w:pPr>
        <w:pStyle w:val="ListBullet"/>
      </w:pPr>
      <w:r>
        <w:t>Explain every prediction using SHAP values and feature importance, so the model is not a black box.</w:t>
      </w:r>
    </w:p>
    <w:p>
      <w:r>
        <w:rPr>
          <w:b/>
          <w:color w:val="E87A2E"/>
        </w:rPr>
        <w:t xml:space="preserve">Research gap addressed: </w:t>
      </w:r>
      <w:r>
        <w:rPr>
          <w:i/>
        </w:rPr>
        <w:t>Most existing work either performs binary PPD detection or predicts the raw screening score directly. Very little prior work attempts fine-grained, score-free, dual-scale (PHQ-9 + EPDS) classification on a Bangladesh-specific postpartum cohort with explainable machine learning.</w:t>
      </w:r>
    </w:p>
    <w:p>
      <w:pPr>
        <w:pStyle w:val="Heading1"/>
      </w:pPr>
      <w:r>
        <w:t>3. The Dataset, Atom by Atom</w:t>
      </w:r>
    </w:p>
    <w:p>
      <w:r>
        <w:t>The raw survey instrument collects 51 columns per respondent. Of these, 46 columns are predictor (input) questions, and the remaining 4 columns are the two raw screening outcomes: 'PHQ9 Score' + 'PHQ9 Result' and 'EPDS Score' + 'EPDS Result'. In the score-free design used by the final pipeline, the two raw numeric scores (PHQ9 Score and EPDS Score) are excluded from the model's input features — only the 46 underlying survey questions are used to predict the severity/result labels. This is why the model input width is exactly 46.</w:t>
      </w:r>
    </w:p>
    <w:p>
      <w:pPr>
        <w:pStyle w:val="Heading2"/>
      </w:pPr>
      <w:r>
        <w:t>3.1 The Full List of 46 Input Features</w:t>
      </w:r>
    </w:p>
    <w:p>
      <w:r>
        <w:t>Grouped here by domain for readability; the model itself treats them as one flat 46-length vector.</w:t>
      </w:r>
    </w:p>
    <w:p>
      <w:pPr>
        <w:pStyle w:val="Heading3"/>
      </w:pPr>
      <w:r>
        <w:t>Demographic &amp; socioeconomic (10)</w:t>
      </w:r>
    </w:p>
    <w:p>
      <w:pPr>
        <w:pStyle w:val="ListBullet"/>
      </w:pPr>
      <w:r>
        <w:t>Age</w:t>
      </w:r>
    </w:p>
    <w:p>
      <w:pPr>
        <w:pStyle w:val="ListBullet"/>
      </w:pPr>
      <w:r>
        <w:t>Current residence</w:t>
      </w:r>
    </w:p>
    <w:p>
      <w:pPr>
        <w:pStyle w:val="ListBullet"/>
      </w:pPr>
      <w:r>
        <w:t>Level of education</w:t>
      </w:r>
    </w:p>
    <w:p>
      <w:pPr>
        <w:pStyle w:val="ListBullet"/>
      </w:pPr>
      <w:r>
        <w:t>Marital status</w:t>
      </w:r>
    </w:p>
    <w:p>
      <w:pPr>
        <w:pStyle w:val="ListBullet"/>
      </w:pPr>
      <w:r>
        <w:t>Occupation before latest pregnancy</w:t>
      </w:r>
    </w:p>
    <w:p>
      <w:pPr>
        <w:pStyle w:val="ListBullet"/>
      </w:pPr>
      <w:r>
        <w:t>Monthly income before latest pregnancy</w:t>
      </w:r>
    </w:p>
    <w:p>
      <w:pPr>
        <w:pStyle w:val="ListBullet"/>
      </w:pPr>
      <w:r>
        <w:t>Occupation after latest childbirth</w:t>
      </w:r>
    </w:p>
    <w:p>
      <w:pPr>
        <w:pStyle w:val="ListBullet"/>
      </w:pPr>
      <w:r>
        <w:t>Current monthly income</w:t>
      </w:r>
    </w:p>
    <w:p>
      <w:pPr>
        <w:pStyle w:val="ListBullet"/>
      </w:pPr>
      <w:r>
        <w:t>Husband's level of education</w:t>
      </w:r>
    </w:p>
    <w:p>
      <w:pPr>
        <w:pStyle w:val="ListBullet"/>
      </w:pPr>
      <w:r>
        <w:t>Husband's monthly income</w:t>
      </w:r>
    </w:p>
    <w:p>
      <w:pPr>
        <w:pStyle w:val="Heading3"/>
      </w:pPr>
      <w:r>
        <w:t>Household &amp; relational (8)</w:t>
      </w:r>
    </w:p>
    <w:p>
      <w:pPr>
        <w:pStyle w:val="ListBullet"/>
      </w:pPr>
      <w:r>
        <w:t>Addiction (any form)</w:t>
      </w:r>
    </w:p>
    <w:p>
      <w:pPr>
        <w:pStyle w:val="ListBullet"/>
      </w:pPr>
      <w:r>
        <w:t>Number of total children</w:t>
      </w:r>
    </w:p>
    <w:p>
      <w:pPr>
        <w:pStyle w:val="ListBullet"/>
      </w:pPr>
      <w:r>
        <w:t>Family type</w:t>
      </w:r>
    </w:p>
    <w:p>
      <w:pPr>
        <w:pStyle w:val="ListBullet"/>
      </w:pPr>
      <w:r>
        <w:t>Number of household members</w:t>
      </w:r>
    </w:p>
    <w:p>
      <w:pPr>
        <w:pStyle w:val="ListBullet"/>
      </w:pPr>
      <w:r>
        <w:t>Relationship with the in-laws</w:t>
      </w:r>
    </w:p>
    <w:p>
      <w:pPr>
        <w:pStyle w:val="ListBullet"/>
      </w:pPr>
      <w:r>
        <w:t>Relationship with husband</w:t>
      </w:r>
    </w:p>
    <w:p>
      <w:pPr>
        <w:pStyle w:val="ListBullet"/>
      </w:pPr>
      <w:r>
        <w:t>Relationship/bonding with the newborn</w:t>
      </w:r>
    </w:p>
    <w:p>
      <w:pPr>
        <w:pStyle w:val="ListBullet"/>
      </w:pPr>
      <w:r>
        <w:t>Relationship between husband and child</w:t>
      </w:r>
    </w:p>
    <w:p>
      <w:pPr>
        <w:pStyle w:val="Heading3"/>
      </w:pPr>
      <w:r>
        <w:t>Psychosocial &amp; support (6)</w:t>
      </w:r>
    </w:p>
    <w:p>
      <w:pPr>
        <w:pStyle w:val="ListBullet"/>
      </w:pPr>
      <w:r>
        <w:t>Feeling about motherhood</w:t>
      </w:r>
    </w:p>
    <w:p>
      <w:pPr>
        <w:pStyle w:val="ListBullet"/>
      </w:pPr>
      <w:r>
        <w:t>Support received before/after childbirth</w:t>
      </w:r>
    </w:p>
    <w:p>
      <w:pPr>
        <w:pStyle w:val="ListBullet"/>
      </w:pPr>
      <w:r>
        <w:t>Need for more support</w:t>
      </w:r>
    </w:p>
    <w:p>
      <w:pPr>
        <w:pStyle w:val="ListBullet"/>
      </w:pPr>
      <w:r>
        <w:t>Major changes or losses during pregnancy</w:t>
      </w:r>
    </w:p>
    <w:p>
      <w:pPr>
        <w:pStyle w:val="ListBullet"/>
      </w:pPr>
      <w:r>
        <w:t>Experience of abuse/mistreatment</w:t>
      </w:r>
    </w:p>
    <w:p>
      <w:pPr>
        <w:pStyle w:val="ListBullet"/>
      </w:pPr>
      <w:r>
        <w:t>Trust and sharing feelings with close friends</w:t>
      </w:r>
    </w:p>
    <w:p>
      <w:pPr>
        <w:pStyle w:val="Heading3"/>
      </w:pPr>
      <w:r>
        <w:t>Obstetric history (5)</w:t>
      </w:r>
    </w:p>
    <w:p>
      <w:pPr>
        <w:pStyle w:val="ListBullet"/>
      </w:pPr>
      <w:r>
        <w:t>History of pregnancy loss</w:t>
      </w:r>
    </w:p>
    <w:p>
      <w:pPr>
        <w:pStyle w:val="ListBullet"/>
      </w:pPr>
      <w:r>
        <w:t>Number of the latest pregnancy</w:t>
      </w:r>
    </w:p>
    <w:p>
      <w:pPr>
        <w:pStyle w:val="ListBullet"/>
      </w:pPr>
      <w:r>
        <w:t>Pregnancy length (weeks)</w:t>
      </w:r>
    </w:p>
    <w:p>
      <w:pPr>
        <w:pStyle w:val="ListBullet"/>
      </w:pPr>
      <w:r>
        <w:t>Was this pregnancy planned</w:t>
      </w:r>
    </w:p>
    <w:p>
      <w:pPr>
        <w:pStyle w:val="ListBullet"/>
      </w:pPr>
      <w:r>
        <w:t>Had regular checkups</w:t>
      </w:r>
    </w:p>
    <w:p>
      <w:pPr>
        <w:pStyle w:val="Heading3"/>
      </w:pPr>
      <w:r>
        <w:t>Clinical / medical (4)</w:t>
      </w:r>
    </w:p>
    <w:p>
      <w:pPr>
        <w:pStyle w:val="ListBullet"/>
      </w:pPr>
      <w:r>
        <w:t>Disease before pregnancy</w:t>
      </w:r>
    </w:p>
    <w:p>
      <w:pPr>
        <w:pStyle w:val="ListBullet"/>
      </w:pPr>
      <w:r>
        <w:t>Fear of pregnancy</w:t>
      </w:r>
    </w:p>
    <w:p>
      <w:pPr>
        <w:pStyle w:val="ListBullet"/>
      </w:pPr>
      <w:r>
        <w:t>Diseases during pregnancy</w:t>
      </w:r>
    </w:p>
    <w:p>
      <w:pPr>
        <w:pStyle w:val="ListBullet"/>
      </w:pPr>
      <w:r>
        <w:t>Mode of delivery</w:t>
      </w:r>
    </w:p>
    <w:p>
      <w:pPr>
        <w:pStyle w:val="Heading3"/>
      </w:pPr>
      <w:r>
        <w:t>Newborn &amp; postpartum (10)</w:t>
      </w:r>
    </w:p>
    <w:p>
      <w:pPr>
        <w:pStyle w:val="ListBullet"/>
      </w:pPr>
      <w:r>
        <w:t>Age of newborn</w:t>
      </w:r>
    </w:p>
    <w:p>
      <w:pPr>
        <w:pStyle w:val="ListBullet"/>
      </w:pPr>
      <w:r>
        <w:t>Age of older children (if any)</w:t>
      </w:r>
    </w:p>
    <w:p>
      <w:pPr>
        <w:pStyle w:val="ListBullet"/>
      </w:pPr>
      <w:r>
        <w:t>Gender of newborn</w:t>
      </w:r>
    </w:p>
    <w:p>
      <w:pPr>
        <w:pStyle w:val="ListBullet"/>
      </w:pPr>
      <w:r>
        <w:t>Birth complications</w:t>
      </w:r>
    </w:p>
    <w:p>
      <w:pPr>
        <w:pStyle w:val="ListBullet"/>
      </w:pPr>
      <w:r>
        <w:t>Breastfeeding status</w:t>
      </w:r>
    </w:p>
    <w:p>
      <w:pPr>
        <w:pStyle w:val="ListBullet"/>
      </w:pPr>
      <w:r>
        <w:t>Newborn illness</w:t>
      </w:r>
    </w:p>
    <w:p>
      <w:pPr>
        <w:pStyle w:val="ListBullet"/>
      </w:pPr>
      <w:r>
        <w:t>Worry about newborn's health</w:t>
      </w:r>
    </w:p>
    <w:p>
      <w:pPr>
        <w:pStyle w:val="ListBullet"/>
      </w:pPr>
      <w:r>
        <w:t>Can relax/sleep when newborn is tended by someone else</w:t>
      </w:r>
    </w:p>
    <w:p>
      <w:pPr>
        <w:pStyle w:val="ListBullet"/>
      </w:pPr>
      <w:r>
        <w:t>Can relax/sleep when newborn is asleep</w:t>
      </w:r>
    </w:p>
    <w:p>
      <w:pPr>
        <w:pStyle w:val="ListBullet"/>
      </w:pPr>
      <w:r>
        <w:t>Anger/irritation after childbirth, difficult to calm down</w:t>
      </w:r>
    </w:p>
    <w:p>
      <w:pPr>
        <w:pStyle w:val="Heading3"/>
      </w:pPr>
      <w:r>
        <w:t>Functioning &amp; prior mental health (3)</w:t>
      </w:r>
    </w:p>
    <w:p>
      <w:pPr>
        <w:pStyle w:val="ListBullet"/>
      </w:pPr>
      <w:r>
        <w:t>Feeling about resuming regular activities</w:t>
      </w:r>
    </w:p>
    <w:p>
      <w:pPr>
        <w:pStyle w:val="ListBullet"/>
      </w:pPr>
      <w:r>
        <w:t>Depression before pregnancy (PHQ-2)</w:t>
      </w:r>
    </w:p>
    <w:p>
      <w:pPr>
        <w:pStyle w:val="ListBullet"/>
      </w:pPr>
      <w:r>
        <w:t>Depression during pregnancy (PHQ-2)</w:t>
      </w:r>
    </w:p>
    <w:p>
      <w:r>
        <w:rPr>
          <w:b/>
          <w:color w:val="E87A2E"/>
        </w:rPr>
        <w:t xml:space="preserve">Count check: </w:t>
      </w:r>
      <w:r>
        <w:rPr>
          <w:i/>
        </w:rPr>
        <w:t>46 features grouped above = 46 total model inputs.</w:t>
      </w:r>
    </w:p>
    <w:p>
      <w:pPr>
        <w:pStyle w:val="Heading2"/>
      </w:pPr>
      <w:r>
        <w:t>3.2 The Two Prediction Targets (Excluded from Input)</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Target</w:t>
            </w:r>
          </w:p>
        </w:tc>
        <w:tc>
          <w:tcPr>
            <w:tcW w:type="dxa" w:w="2484"/>
          </w:tcPr>
          <w:p>
            <w:r>
              <w:rPr>
                <w:b/>
              </w:rPr>
              <w:t>Classes</w:t>
            </w:r>
          </w:p>
        </w:tc>
        <w:tc>
          <w:tcPr>
            <w:tcW w:type="dxa" w:w="2484"/>
          </w:tcPr>
          <w:p>
            <w:r>
              <w:rPr>
                <w:b/>
              </w:rPr>
              <w:t>Source column</w:t>
            </w:r>
          </w:p>
        </w:tc>
        <w:tc>
          <w:tcPr>
            <w:tcW w:type="dxa" w:w="2484"/>
          </w:tcPr>
          <w:p>
            <w:r>
              <w:rPr>
                <w:b/>
              </w:rPr>
              <w:t>Excluded raw score</w:t>
            </w:r>
          </w:p>
        </w:tc>
      </w:tr>
      <w:tr>
        <w:tc>
          <w:tcPr>
            <w:tcW w:type="dxa" w:w="2484"/>
          </w:tcPr>
          <w:p>
            <w:r>
              <w:t>PHQ-9 severity</w:t>
            </w:r>
          </w:p>
        </w:tc>
        <w:tc>
          <w:tcPr>
            <w:tcW w:type="dxa" w:w="2484"/>
          </w:tcPr>
          <w:p>
            <w:r>
              <w:t>6 classes (fine-grained PHQ-9 severity bands)</w:t>
            </w:r>
          </w:p>
        </w:tc>
        <w:tc>
          <w:tcPr>
            <w:tcW w:type="dxa" w:w="2484"/>
          </w:tcPr>
          <w:p>
            <w:r>
              <w:t>PHQ9 Result</w:t>
            </w:r>
          </w:p>
        </w:tc>
        <w:tc>
          <w:tcPr>
            <w:tcW w:type="dxa" w:w="2484"/>
          </w:tcPr>
          <w:p>
            <w:r>
              <w:t>PHQ9 Score (excluded — score-free)</w:t>
            </w:r>
          </w:p>
        </w:tc>
      </w:tr>
      <w:tr>
        <w:tc>
          <w:tcPr>
            <w:tcW w:type="dxa" w:w="2484"/>
          </w:tcPr>
          <w:p>
            <w:r>
              <w:t>EPDS risk level</w:t>
            </w:r>
          </w:p>
        </w:tc>
        <w:tc>
          <w:tcPr>
            <w:tcW w:type="dxa" w:w="2484"/>
          </w:tcPr>
          <w:p>
            <w:r>
              <w:t>3 classes: Low / Medium / High</w:t>
            </w:r>
          </w:p>
        </w:tc>
        <w:tc>
          <w:tcPr>
            <w:tcW w:type="dxa" w:w="2484"/>
          </w:tcPr>
          <w:p>
            <w:r>
              <w:t>EPDS Result</w:t>
            </w:r>
          </w:p>
        </w:tc>
        <w:tc>
          <w:tcPr>
            <w:tcW w:type="dxa" w:w="2484"/>
          </w:tcPr>
          <w:p>
            <w:r>
              <w:t>EPDS Score (excluded — score-free)</w:t>
            </w:r>
          </w:p>
        </w:tc>
      </w:tr>
    </w:tbl>
    <w:p/>
    <w:p>
      <w:r>
        <w:rPr>
          <w:b/>
          <w:color w:val="E87A2E"/>
        </w:rPr>
        <w:t xml:space="preserve">Honesty note: </w:t>
      </w:r>
      <w:r>
        <w:rPr>
          <w:i/>
        </w:rPr>
        <w:t>The exact text label assigned to each of the 6 PHQ-9 output indices (0–5) is set inside the original training notebook's label encoder and is not re-stored inside the saved .pth checkpoint files in this repository. The EPDS 3-class mapping (Low / Medium / High) is confirmed directly from the dataset's 'EPDS Result' column and the poster's EPDS severity pie chart.</w:t>
      </w:r>
    </w:p>
    <w:p>
      <w:pPr>
        <w:pStyle w:val="Heading2"/>
      </w:pPr>
      <w:r>
        <w:t>3.3 Class Balance and Splitting</w:t>
      </w:r>
    </w:p>
    <w:p>
      <w:pPr>
        <w:jc w:val="center"/>
      </w:pPr>
      <w:r>
        <w:drawing>
          <wp:inline xmlns:a="http://schemas.openxmlformats.org/drawingml/2006/main" xmlns:pic="http://schemas.openxmlformats.org/drawingml/2006/picture">
            <wp:extent cx="5760720" cy="1395386"/>
            <wp:docPr id="1" name="Picture 1"/>
            <wp:cNvGraphicFramePr>
              <a:graphicFrameLocks noChangeAspect="1"/>
            </wp:cNvGraphicFramePr>
            <a:graphic>
              <a:graphicData uri="http://schemas.openxmlformats.org/drawingml/2006/picture">
                <pic:pic>
                  <pic:nvPicPr>
                    <pic:cNvPr id="0" name="dataset_description.png"/>
                    <pic:cNvPicPr/>
                  </pic:nvPicPr>
                  <pic:blipFill>
                    <a:blip r:embed="rId9"/>
                    <a:stretch>
                      <a:fillRect/>
                    </a:stretch>
                  </pic:blipFill>
                  <pic:spPr>
                    <a:xfrm>
                      <a:off x="0" y="0"/>
                      <a:ext cx="5760720" cy="1395386"/>
                    </a:xfrm>
                    <a:prstGeom prst="rect"/>
                  </pic:spPr>
                </pic:pic>
              </a:graphicData>
            </a:graphic>
          </wp:inline>
        </w:drawing>
      </w:r>
    </w:p>
    <w:p>
      <w:pPr>
        <w:jc w:val="center"/>
      </w:pPr>
      <w:r>
        <w:rPr>
          <w:i/>
          <w:sz w:val="19"/>
        </w:rPr>
        <w:t>Figure 1. Dataset composition, raw class distributions, and the resampled train/validation/test split.</w:t>
      </w:r>
    </w:p>
    <w:p>
      <w:pPr>
        <w:jc w:val="center"/>
      </w:pPr>
      <w:r>
        <w:drawing>
          <wp:inline xmlns:a="http://schemas.openxmlformats.org/drawingml/2006/main" xmlns:pic="http://schemas.openxmlformats.org/drawingml/2006/picture">
            <wp:extent cx="5760720" cy="1590422"/>
            <wp:docPr id="2" name="Picture 2"/>
            <wp:cNvGraphicFramePr>
              <a:graphicFrameLocks noChangeAspect="1"/>
            </wp:cNvGraphicFramePr>
            <a:graphic>
              <a:graphicData uri="http://schemas.openxmlformats.org/drawingml/2006/picture">
                <pic:pic>
                  <pic:nvPicPr>
                    <pic:cNvPr id="0" name="eda_overview.png"/>
                    <pic:cNvPicPr/>
                  </pic:nvPicPr>
                  <pic:blipFill>
                    <a:blip r:embed="rId10"/>
                    <a:stretch>
                      <a:fillRect/>
                    </a:stretch>
                  </pic:blipFill>
                  <pic:spPr>
                    <a:xfrm>
                      <a:off x="0" y="0"/>
                      <a:ext cx="5760720" cy="1590422"/>
                    </a:xfrm>
                    <a:prstGeom prst="rect"/>
                  </pic:spPr>
                </pic:pic>
              </a:graphicData>
            </a:graphic>
          </wp:inline>
        </w:drawing>
      </w:r>
    </w:p>
    <w:p>
      <w:pPr>
        <w:jc w:val="center"/>
      </w:pPr>
      <w:r>
        <w:rPr>
          <w:i/>
          <w:sz w:val="19"/>
        </w:rPr>
        <w:t>Figure 2. Exploratory profile — PHQ-9 severity counts, EPDS proportions, and the PHQ-9 score histogram.</w:t>
      </w:r>
    </w:p>
    <w:p>
      <w:r>
        <w:t>Out of 800 respondents, both PHQ-9 and EPDS labels are imbalanced (Moderate and Mild dominate PHQ-9; High is the largest EPDS group at 43.8%, Low 32.5%, Medium 23.8%). The data is split in a stratified 70% / 15% / 15% ratio for train / validation / test — approximately 560 training rows, 120 validation rows, and 120 test rows before SMOTE rebalancing is applied to the training portion.</w:t>
      </w:r>
    </w:p>
    <w:p>
      <w:pPr>
        <w:pStyle w:val="Heading1"/>
      </w:pPr>
      <w:r>
        <w:t>4. Preprocessing Pipeline — Step by Step</w:t>
      </w:r>
    </w:p>
    <w:p>
      <w:pPr>
        <w:jc w:val="center"/>
      </w:pPr>
      <w:r>
        <w:drawing>
          <wp:inline xmlns:a="http://schemas.openxmlformats.org/drawingml/2006/main" xmlns:pic="http://schemas.openxmlformats.org/drawingml/2006/picture">
            <wp:extent cx="5760720" cy="1663137"/>
            <wp:docPr id="3" name="Picture 3"/>
            <wp:cNvGraphicFramePr>
              <a:graphicFrameLocks noChangeAspect="1"/>
            </wp:cNvGraphicFramePr>
            <a:graphic>
              <a:graphicData uri="http://schemas.openxmlformats.org/drawingml/2006/picture">
                <pic:pic>
                  <pic:nvPicPr>
                    <pic:cNvPr id="0" name="methodology_pipeline.png"/>
                    <pic:cNvPicPr/>
                  </pic:nvPicPr>
                  <pic:blipFill>
                    <a:blip r:embed="rId11"/>
                    <a:stretch>
                      <a:fillRect/>
                    </a:stretch>
                  </pic:blipFill>
                  <pic:spPr>
                    <a:xfrm>
                      <a:off x="0" y="0"/>
                      <a:ext cx="5760720" cy="1663137"/>
                    </a:xfrm>
                    <a:prstGeom prst="rect"/>
                  </pic:spPr>
                </pic:pic>
              </a:graphicData>
            </a:graphic>
          </wp:inline>
        </w:drawing>
      </w:r>
    </w:p>
    <w:p>
      <w:pPr>
        <w:jc w:val="center"/>
      </w:pPr>
      <w:r>
        <w:rPr>
          <w:i/>
          <w:sz w:val="19"/>
        </w:rPr>
        <w:t>Figure 3. The full score-free task-adaptive hybrid pipeline, end to end.</w:t>
      </w:r>
    </w:p>
    <w:p>
      <w:pPr>
        <w:pStyle w:val="ListNumber"/>
      </w:pPr>
      <w:r>
        <w:t>Start from the raw survey table of 800 rows x 51 columns.</w:t>
      </w:r>
    </w:p>
    <w:p>
      <w:pPr>
        <w:pStyle w:val="ListNumber"/>
      </w:pPr>
      <w:r>
        <w:t>Drop the respondent identifier and both raw total-score columns (PHQ9 Score, EPDS Score) — this is what makes the pipeline 'score-free'.</w:t>
      </w:r>
    </w:p>
    <w:p>
      <w:pPr>
        <w:pStyle w:val="ListNumber"/>
      </w:pPr>
      <w:r>
        <w:t>Mode imputation: any missing categorical answer is filled with that column's most frequent (mode) value.</w:t>
      </w:r>
    </w:p>
    <w:p>
      <w:pPr>
        <w:pStyle w:val="ListNumber"/>
      </w:pPr>
      <w:r>
        <w:t>Label encoding: every categorical/text answer (e.g. 'Married', 'Joint family', 'Yes/No') is converted to an integer code.</w:t>
      </w:r>
    </w:p>
    <w:p>
      <w:pPr>
        <w:pStyle w:val="ListNumber"/>
      </w:pPr>
      <w:r>
        <w:t>Standardization: every numeric feature is rescaled to zero mean and unit variance.</w:t>
      </w:r>
    </w:p>
    <w:p>
      <w:pPr>
        <w:pStyle w:val="ListNumber"/>
      </w:pPr>
      <w:r>
        <w:t>SMOTE (Synthetic Minority Over-sampling Technique) is applied to the training split only, to synthesize extra examples of the rarer severity classes so the model is not biased toward the majority class.</w:t>
      </w:r>
    </w:p>
    <w:p>
      <w:pPr>
        <w:pStyle w:val="ListNumber"/>
      </w:pPr>
      <w:r>
        <w:t>Stratified split into train (70%) / validation (15%) / test (15%), preserving class proportions in each subset.</w:t>
      </w:r>
    </w:p>
    <w:p>
      <w:pPr>
        <w:pStyle w:val="ListNumber"/>
      </w:pPr>
      <w:r>
        <w:t>The resulting 46-column numeric matrix is fed in parallel to the CNN branch (as a 1-channel sequence) and the SVM branch (as a flat feature vector).</w:t>
      </w:r>
    </w:p>
    <w:p>
      <w:pPr>
        <w:jc w:val="center"/>
      </w:pPr>
      <w:r>
        <w:rPr>
          <w:rFonts w:ascii="Cambria Math" w:hAnsi="Cambria Math"/>
          <w:b/>
          <w:sz w:val="24"/>
        </w:rPr>
        <w:t>Standardization:   z = (x − μ) / σ</w:t>
      </w:r>
    </w:p>
    <w:p>
      <w:r>
        <w:t>where x is the raw feature value, μ is that feature's training-set mean, and σ is its training-set standard deviation.</w:t>
      </w:r>
    </w:p>
    <w:p>
      <w:pPr>
        <w:pStyle w:val="Heading1"/>
      </w:pPr>
      <w:r>
        <w:t>5. Branch A — Attention-Based 1D-CNN (Layer by Layer, Atomic Detail)</w:t>
      </w:r>
    </w:p>
    <w:p>
      <w:r>
        <w:t>This branch treats the 46 score-free features as a length-46, 1-channel sequence (think of it as a miniature 1-D 'signal' of 46 data points) and learns local patterns across neighboring features using 1-D convolutions, then applies a lightweight channel-attention gate, then a fully-connected (MLP) classification head. The exact layer shapes below were extracted directly from the saved PyTorch checkpoint files (ppd_cnn_phq9_best.pth and ppd_cnn_epds_best.pth) — every number is real, not estimated.</w:t>
      </w:r>
    </w:p>
    <w:p>
      <w:pPr>
        <w:pStyle w:val="Heading2"/>
      </w:pPr>
      <w:r>
        <w:t>5.1 Input</w:t>
      </w:r>
    </w:p>
    <w:p>
      <w:pPr>
        <w:pStyle w:val="ListBullet"/>
      </w:pPr>
      <w:r>
        <w:t>Input tensor shape: (batch_size, 1 input channel, 46 sequence positions).</w:t>
      </w:r>
    </w:p>
    <w:p>
      <w:pPr>
        <w:pStyle w:val="ListBullet"/>
      </w:pPr>
      <w:r>
        <w:t>Each of the 46 positions corresponds to exactly one preprocessed survey feature.</w:t>
      </w:r>
    </w:p>
    <w:p>
      <w:pPr>
        <w:pStyle w:val="Heading2"/>
      </w:pPr>
      <w:r>
        <w:t>5.2 Convolutional Feature Extractor — 3 Blocks</w:t>
      </w:r>
    </w:p>
    <w:p>
      <w:r>
        <w:t>Each block follows the pattern: Conv1d (no bias) -&gt; BatchNorm1d -&gt; ReLU activation.</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Block</w:t>
            </w:r>
          </w:p>
        </w:tc>
        <w:tc>
          <w:tcPr>
            <w:tcW w:type="dxa" w:w="1656"/>
          </w:tcPr>
          <w:p>
            <w:r>
              <w:rPr>
                <w:b/>
              </w:rPr>
              <w:t>Layer</w:t>
            </w:r>
          </w:p>
        </w:tc>
        <w:tc>
          <w:tcPr>
            <w:tcW w:type="dxa" w:w="1656"/>
          </w:tcPr>
          <w:p>
            <w:r>
              <w:rPr>
                <w:b/>
              </w:rPr>
              <w:t>Weight shape (out, in, kernel)</w:t>
            </w:r>
          </w:p>
        </w:tc>
        <w:tc>
          <w:tcPr>
            <w:tcW w:type="dxa" w:w="1656"/>
          </w:tcPr>
          <w:p>
            <w:r>
              <w:rPr>
                <w:b/>
              </w:rPr>
              <w:t>Kernel size</w:t>
            </w:r>
          </w:p>
        </w:tc>
        <w:tc>
          <w:tcPr>
            <w:tcW w:type="dxa" w:w="1656"/>
          </w:tcPr>
          <w:p>
            <w:r>
              <w:rPr>
                <w:b/>
              </w:rPr>
              <w:t>Parameters</w:t>
            </w:r>
          </w:p>
        </w:tc>
        <w:tc>
          <w:tcPr>
            <w:tcW w:type="dxa" w:w="1656"/>
          </w:tcPr>
          <w:p>
            <w:r>
              <w:rPr>
                <w:b/>
              </w:rPr>
              <w:t>Followed by</w:t>
            </w:r>
          </w:p>
        </w:tc>
      </w:tr>
      <w:tr>
        <w:tc>
          <w:tcPr>
            <w:tcW w:type="dxa" w:w="1656"/>
          </w:tcPr>
          <w:p>
            <w:r>
              <w:t>conv1</w:t>
            </w:r>
          </w:p>
        </w:tc>
        <w:tc>
          <w:tcPr>
            <w:tcW w:type="dxa" w:w="1656"/>
          </w:tcPr>
          <w:p>
            <w:r>
              <w:t>Conv1d(1 -&gt; 32)</w:t>
            </w:r>
          </w:p>
        </w:tc>
        <w:tc>
          <w:tcPr>
            <w:tcW w:type="dxa" w:w="1656"/>
          </w:tcPr>
          <w:p>
            <w:r>
              <w:t>(32, 1, 5)</w:t>
            </w:r>
          </w:p>
        </w:tc>
        <w:tc>
          <w:tcPr>
            <w:tcW w:type="dxa" w:w="1656"/>
          </w:tcPr>
          <w:p>
            <w:r>
              <w:t>5</w:t>
            </w:r>
          </w:p>
        </w:tc>
        <w:tc>
          <w:tcPr>
            <w:tcW w:type="dxa" w:w="1656"/>
          </w:tcPr>
          <w:p>
            <w:r>
              <w:t>160</w:t>
            </w:r>
          </w:p>
        </w:tc>
        <w:tc>
          <w:tcPr>
            <w:tcW w:type="dxa" w:w="1656"/>
          </w:tcPr>
          <w:p>
            <w:r>
              <w:t>BatchNorm1d(32) + ReLU</w:t>
            </w:r>
          </w:p>
        </w:tc>
      </w:tr>
      <w:tr>
        <w:tc>
          <w:tcPr>
            <w:tcW w:type="dxa" w:w="1656"/>
          </w:tcPr>
          <w:p>
            <w:r>
              <w:t>conv2</w:t>
            </w:r>
          </w:p>
        </w:tc>
        <w:tc>
          <w:tcPr>
            <w:tcW w:type="dxa" w:w="1656"/>
          </w:tcPr>
          <w:p>
            <w:r>
              <w:t>Conv1d(32 -&gt; 64)</w:t>
            </w:r>
          </w:p>
        </w:tc>
        <w:tc>
          <w:tcPr>
            <w:tcW w:type="dxa" w:w="1656"/>
          </w:tcPr>
          <w:p>
            <w:r>
              <w:t>(64, 32, 5)</w:t>
            </w:r>
          </w:p>
        </w:tc>
        <w:tc>
          <w:tcPr>
            <w:tcW w:type="dxa" w:w="1656"/>
          </w:tcPr>
          <w:p>
            <w:r>
              <w:t>5</w:t>
            </w:r>
          </w:p>
        </w:tc>
        <w:tc>
          <w:tcPr>
            <w:tcW w:type="dxa" w:w="1656"/>
          </w:tcPr>
          <w:p>
            <w:r>
              <w:t>10,240</w:t>
            </w:r>
          </w:p>
        </w:tc>
        <w:tc>
          <w:tcPr>
            <w:tcW w:type="dxa" w:w="1656"/>
          </w:tcPr>
          <w:p>
            <w:r>
              <w:t>BatchNorm1d(64) + ReLU</w:t>
            </w:r>
          </w:p>
        </w:tc>
      </w:tr>
      <w:tr>
        <w:tc>
          <w:tcPr>
            <w:tcW w:type="dxa" w:w="1656"/>
          </w:tcPr>
          <w:p>
            <w:r>
              <w:t>conv3</w:t>
            </w:r>
          </w:p>
        </w:tc>
        <w:tc>
          <w:tcPr>
            <w:tcW w:type="dxa" w:w="1656"/>
          </w:tcPr>
          <w:p>
            <w:r>
              <w:t>Conv1d(64 -&gt; 128)</w:t>
            </w:r>
          </w:p>
        </w:tc>
        <w:tc>
          <w:tcPr>
            <w:tcW w:type="dxa" w:w="1656"/>
          </w:tcPr>
          <w:p>
            <w:r>
              <w:t>(128, 64, 5)</w:t>
            </w:r>
          </w:p>
        </w:tc>
        <w:tc>
          <w:tcPr>
            <w:tcW w:type="dxa" w:w="1656"/>
          </w:tcPr>
          <w:p>
            <w:r>
              <w:t>5</w:t>
            </w:r>
          </w:p>
        </w:tc>
        <w:tc>
          <w:tcPr>
            <w:tcW w:type="dxa" w:w="1656"/>
          </w:tcPr>
          <w:p>
            <w:r>
              <w:t>40,960</w:t>
            </w:r>
          </w:p>
        </w:tc>
        <w:tc>
          <w:tcPr>
            <w:tcW w:type="dxa" w:w="1656"/>
          </w:tcPr>
          <w:p>
            <w:r>
              <w:t>BatchNorm1d(128) + ReLU</w:t>
            </w:r>
          </w:p>
        </w:tc>
      </w:tr>
    </w:tbl>
    <w:p/>
    <w:p>
      <w:r>
        <w:rPr>
          <w:b/>
          <w:color w:val="E87A2E"/>
        </w:rPr>
        <w:t xml:space="preserve">Assumption flagged: </w:t>
      </w:r>
      <w:r>
        <w:rPr>
          <w:i/>
        </w:rPr>
        <w:t>Padding is not stored inside the saved weight tensors (only kernel weights and BatchNorm statistics are saved). The architecture is consistent with 'same' padding (padding = 2 for a kernel of 5) so the sequence length of 46 is preserved through all three convolution blocks before pooling — this is the standard convention for this block pattern, but is stated here as an inference, not a literal stored value.</w:t>
      </w:r>
    </w:p>
    <w:p>
      <w:pPr>
        <w:pStyle w:val="Heading2"/>
      </w:pPr>
      <w:r>
        <w:t>5.3 Squeeze-and-Excitation Style Channel Attention</w:t>
      </w:r>
    </w:p>
    <w:p>
      <w:r>
        <w:t>After the third convolution block produces a (batch, 128 channels, 46 positions) feature map, the network performs Global Average Pooling across the 46 positions to get one 128-length summary vector per sample. This vector is then passed through a small 'gate' network that learns how much to trust each of the 128 channels: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Layer</w:t>
            </w:r>
          </w:p>
        </w:tc>
        <w:tc>
          <w:tcPr>
            <w:tcW w:type="dxa" w:w="2484"/>
          </w:tcPr>
          <w:p>
            <w:r>
              <w:rPr>
                <w:b/>
              </w:rPr>
              <w:t>Weight shape</w:t>
            </w:r>
          </w:p>
        </w:tc>
        <w:tc>
          <w:tcPr>
            <w:tcW w:type="dxa" w:w="2484"/>
          </w:tcPr>
          <w:p>
            <w:r>
              <w:rPr>
                <w:b/>
              </w:rPr>
              <w:t>Parameters</w:t>
            </w:r>
          </w:p>
        </w:tc>
        <w:tc>
          <w:tcPr>
            <w:tcW w:type="dxa" w:w="2484"/>
          </w:tcPr>
          <w:p>
            <w:r>
              <w:rPr>
                <w:b/>
              </w:rPr>
              <w:t>Activation</w:t>
            </w:r>
          </w:p>
        </w:tc>
      </w:tr>
      <w:tr>
        <w:tc>
          <w:tcPr>
            <w:tcW w:type="dxa" w:w="2484"/>
          </w:tcPr>
          <w:p>
            <w:r>
              <w:t>attn.gate[0] — Linear(128 -&gt; 16)</w:t>
            </w:r>
          </w:p>
        </w:tc>
        <w:tc>
          <w:tcPr>
            <w:tcW w:type="dxa" w:w="2484"/>
          </w:tcPr>
          <w:p>
            <w:r>
              <w:t>(16, 128)</w:t>
            </w:r>
          </w:p>
        </w:tc>
        <w:tc>
          <w:tcPr>
            <w:tcW w:type="dxa" w:w="2484"/>
          </w:tcPr>
          <w:p>
            <w:r>
              <w:t>2,048</w:t>
            </w:r>
          </w:p>
        </w:tc>
        <w:tc>
          <w:tcPr>
            <w:tcW w:type="dxa" w:w="2484"/>
          </w:tcPr>
          <w:p>
            <w:r>
              <w:t>ReLU (squeeze)</w:t>
            </w:r>
          </w:p>
        </w:tc>
      </w:tr>
      <w:tr>
        <w:tc>
          <w:tcPr>
            <w:tcW w:type="dxa" w:w="2484"/>
          </w:tcPr>
          <w:p>
            <w:r>
              <w:t>attn.gate[2] — Linear(16 -&gt; 128)</w:t>
            </w:r>
          </w:p>
        </w:tc>
        <w:tc>
          <w:tcPr>
            <w:tcW w:type="dxa" w:w="2484"/>
          </w:tcPr>
          <w:p>
            <w:r>
              <w:t>(128, 16)</w:t>
            </w:r>
          </w:p>
        </w:tc>
        <w:tc>
          <w:tcPr>
            <w:tcW w:type="dxa" w:w="2484"/>
          </w:tcPr>
          <w:p>
            <w:r>
              <w:t>2,048</w:t>
            </w:r>
          </w:p>
        </w:tc>
        <w:tc>
          <w:tcPr>
            <w:tcW w:type="dxa" w:w="2484"/>
          </w:tcPr>
          <w:p>
            <w:r>
              <w:t>Sigmoid (excite, gate weights in [0, 1])</w:t>
            </w:r>
          </w:p>
        </w:tc>
      </w:tr>
    </w:tbl>
    <w:p/>
    <w:p>
      <w:pPr>
        <w:jc w:val="center"/>
      </w:pPr>
      <w:r>
        <w:rPr>
          <w:rFonts w:ascii="Cambria Math" w:hAnsi="Cambria Math"/>
          <w:b/>
          <w:sz w:val="24"/>
        </w:rPr>
        <w:t>attention_weights = σ( W₂ · ReLU( W₁ · GAP(features) ) )</w:t>
      </w:r>
    </w:p>
    <w:p>
      <w:pPr>
        <w:jc w:val="center"/>
      </w:pPr>
      <w:r>
        <w:rPr>
          <w:rFonts w:ascii="Cambria Math" w:hAnsi="Cambria Math"/>
          <w:b/>
          <w:sz w:val="24"/>
        </w:rPr>
        <w:t>recalibrated_features = features × attention_weights   (channel-wise multiply)</w:t>
      </w:r>
    </w:p>
    <w:p>
      <w:r>
        <w:t>In plain language: the network squeezes the 128 channels down to 16 (a bottleneck), decides which channels matter most, expands back to 128 channel weights between 0 and 1 (sigmoid), and multiplies the original 128-length pooled feature vector by these weights. Channels that matter more for this particular patient's pattern get amplified; channels that matter less get suppressed. Neither linear layer in the gate uses a bias term, which is the standard lightweight Squeeze-Excitation design.</w:t>
      </w:r>
    </w:p>
    <w:p>
      <w:pPr>
        <w:pStyle w:val="Heading2"/>
      </w:pPr>
      <w:r>
        <w:t>5.4 Classification Head (MLP) — 3 Hidden Blocks + Output Layer</w:t>
      </w:r>
    </w:p>
    <w:p>
      <w:r>
        <w:t>The attention-recalibrated 128-length vector is fed into a 4-layer fully connected classifier. Every hidden block follows the same pattern: Linear -&gt; BatchNorm1d -&gt; ReLU -&gt; Dropout. This pattern is confirmed structurally: there are learnable parameters only at indices 0, 1, 4, 5, 8, 9, and 12 of the classifier, with exactly two parameter-free layers (ReLU then Dropout) sitting between each pair of Linear+BatchNorm blocks — that gap pattern is the fingerprint of a Dropout layer following each ReLU.</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b/>
              </w:rPr>
              <w:t>Index</w:t>
            </w:r>
          </w:p>
        </w:tc>
        <w:tc>
          <w:tcPr>
            <w:tcW w:type="dxa" w:w="1987"/>
          </w:tcPr>
          <w:p>
            <w:r>
              <w:rPr>
                <w:b/>
              </w:rPr>
              <w:t>Layer</w:t>
            </w:r>
          </w:p>
        </w:tc>
        <w:tc>
          <w:tcPr>
            <w:tcW w:type="dxa" w:w="1987"/>
          </w:tcPr>
          <w:p>
            <w:r>
              <w:rPr>
                <w:b/>
              </w:rPr>
              <w:t>Shape</w:t>
            </w:r>
          </w:p>
        </w:tc>
        <w:tc>
          <w:tcPr>
            <w:tcW w:type="dxa" w:w="1987"/>
          </w:tcPr>
          <w:p>
            <w:r>
              <w:rPr>
                <w:b/>
              </w:rPr>
              <w:t>Parameters</w:t>
            </w:r>
          </w:p>
        </w:tc>
        <w:tc>
          <w:tcPr>
            <w:tcW w:type="dxa" w:w="1987"/>
          </w:tcPr>
          <w:p>
            <w:r>
              <w:rPr>
                <w:b/>
              </w:rPr>
              <w:t>Note</w:t>
            </w:r>
          </w:p>
        </w:tc>
      </w:tr>
      <w:tr>
        <w:tc>
          <w:tcPr>
            <w:tcW w:type="dxa" w:w="1987"/>
          </w:tcPr>
          <w:p>
            <w:r>
              <w:t>classifier.0</w:t>
            </w:r>
          </w:p>
        </w:tc>
        <w:tc>
          <w:tcPr>
            <w:tcW w:type="dxa" w:w="1987"/>
          </w:tcPr>
          <w:p>
            <w:r>
              <w:t>Linear(128 -&gt; 256)</w:t>
            </w:r>
          </w:p>
        </w:tc>
        <w:tc>
          <w:tcPr>
            <w:tcW w:type="dxa" w:w="1987"/>
          </w:tcPr>
          <w:p>
            <w:r>
              <w:t>(256, 128) + bias 256</w:t>
            </w:r>
          </w:p>
        </w:tc>
        <w:tc>
          <w:tcPr>
            <w:tcW w:type="dxa" w:w="1987"/>
          </w:tcPr>
          <w:p>
            <w:r>
              <w:t>33,024</w:t>
            </w:r>
          </w:p>
        </w:tc>
        <w:tc>
          <w:tcPr>
            <w:tcW w:type="dxa" w:w="1987"/>
          </w:tcPr>
          <w:p>
            <w:r>
              <w:t>Hidden block 1</w:t>
            </w:r>
          </w:p>
        </w:tc>
      </w:tr>
      <w:tr>
        <w:tc>
          <w:tcPr>
            <w:tcW w:type="dxa" w:w="1987"/>
          </w:tcPr>
          <w:p>
            <w:r>
              <w:t>classifier.1</w:t>
            </w:r>
          </w:p>
        </w:tc>
        <w:tc>
          <w:tcPr>
            <w:tcW w:type="dxa" w:w="1987"/>
          </w:tcPr>
          <w:p>
            <w:r>
              <w:t>BatchNorm1d(256)</w:t>
            </w:r>
          </w:p>
        </w:tc>
        <w:tc>
          <w:tcPr>
            <w:tcW w:type="dxa" w:w="1987"/>
          </w:tcPr>
          <w:p>
            <w:r>
              <w:t>256 scale + 256 shift</w:t>
            </w:r>
          </w:p>
        </w:tc>
        <w:tc>
          <w:tcPr>
            <w:tcW w:type="dxa" w:w="1987"/>
          </w:tcPr>
          <w:p>
            <w:r>
              <w:t>512 trainable</w:t>
            </w:r>
          </w:p>
        </w:tc>
        <w:tc>
          <w:tcPr>
            <w:tcW w:type="dxa" w:w="1987"/>
          </w:tcPr>
          <w:p>
            <w:r>
              <w:t>+ running stats (non-trainable)</w:t>
            </w:r>
          </w:p>
        </w:tc>
      </w:tr>
      <w:tr>
        <w:tc>
          <w:tcPr>
            <w:tcW w:type="dxa" w:w="1987"/>
          </w:tcPr>
          <w:p>
            <w:r>
              <w:t>classifier.2</w:t>
            </w:r>
          </w:p>
        </w:tc>
        <w:tc>
          <w:tcPr>
            <w:tcW w:type="dxa" w:w="1987"/>
          </w:tcPr>
          <w:p>
            <w:r>
              <w:t>ReLU</w:t>
            </w:r>
          </w:p>
        </w:tc>
        <w:tc>
          <w:tcPr>
            <w:tcW w:type="dxa" w:w="1987"/>
          </w:tcPr>
          <w:p>
            <w:r>
              <w:t>—</w:t>
            </w:r>
          </w:p>
        </w:tc>
        <w:tc>
          <w:tcPr>
            <w:tcW w:type="dxa" w:w="1987"/>
          </w:tcPr>
          <w:p>
            <w:r>
              <w:t>0</w:t>
            </w:r>
          </w:p>
        </w:tc>
        <w:tc>
          <w:tcPr>
            <w:tcW w:type="dxa" w:w="1987"/>
          </w:tcPr>
          <w:p>
            <w:r>
              <w:t>Activation</w:t>
            </w:r>
          </w:p>
        </w:tc>
      </w:tr>
      <w:tr>
        <w:tc>
          <w:tcPr>
            <w:tcW w:type="dxa" w:w="1987"/>
          </w:tcPr>
          <w:p>
            <w:r>
              <w:t>classifier.3</w:t>
            </w:r>
          </w:p>
        </w:tc>
        <w:tc>
          <w:tcPr>
            <w:tcW w:type="dxa" w:w="1987"/>
          </w:tcPr>
          <w:p>
            <w:r>
              <w:t>Dropout</w:t>
            </w:r>
          </w:p>
        </w:tc>
        <w:tc>
          <w:tcPr>
            <w:tcW w:type="dxa" w:w="1987"/>
          </w:tcPr>
          <w:p>
            <w:r>
              <w:t>—</w:t>
            </w:r>
          </w:p>
        </w:tc>
        <w:tc>
          <w:tcPr>
            <w:tcW w:type="dxa" w:w="1987"/>
          </w:tcPr>
          <w:p>
            <w:r>
              <w:t>0</w:t>
            </w:r>
          </w:p>
        </w:tc>
        <w:tc>
          <w:tcPr>
            <w:tcW w:type="dxa" w:w="1987"/>
          </w:tcPr>
          <w:p>
            <w:r>
              <w:t>Regularization (rate not stored in weights)</w:t>
            </w:r>
          </w:p>
        </w:tc>
      </w:tr>
      <w:tr>
        <w:tc>
          <w:tcPr>
            <w:tcW w:type="dxa" w:w="1987"/>
          </w:tcPr>
          <w:p>
            <w:r>
              <w:t>classifier.4</w:t>
            </w:r>
          </w:p>
        </w:tc>
        <w:tc>
          <w:tcPr>
            <w:tcW w:type="dxa" w:w="1987"/>
          </w:tcPr>
          <w:p>
            <w:r>
              <w:t>Linear(256 -&gt; 128)</w:t>
            </w:r>
          </w:p>
        </w:tc>
        <w:tc>
          <w:tcPr>
            <w:tcW w:type="dxa" w:w="1987"/>
          </w:tcPr>
          <w:p>
            <w:r>
              <w:t>(128, 256) + bias 128</w:t>
            </w:r>
          </w:p>
        </w:tc>
        <w:tc>
          <w:tcPr>
            <w:tcW w:type="dxa" w:w="1987"/>
          </w:tcPr>
          <w:p>
            <w:r>
              <w:t>32,896</w:t>
            </w:r>
          </w:p>
        </w:tc>
        <w:tc>
          <w:tcPr>
            <w:tcW w:type="dxa" w:w="1987"/>
          </w:tcPr>
          <w:p>
            <w:r>
              <w:t>Hidden block 2</w:t>
            </w:r>
          </w:p>
        </w:tc>
      </w:tr>
      <w:tr>
        <w:tc>
          <w:tcPr>
            <w:tcW w:type="dxa" w:w="1987"/>
          </w:tcPr>
          <w:p>
            <w:r>
              <w:t>classifier.5</w:t>
            </w:r>
          </w:p>
        </w:tc>
        <w:tc>
          <w:tcPr>
            <w:tcW w:type="dxa" w:w="1987"/>
          </w:tcPr>
          <w:p>
            <w:r>
              <w:t>BatchNorm1d(128)</w:t>
            </w:r>
          </w:p>
        </w:tc>
        <w:tc>
          <w:tcPr>
            <w:tcW w:type="dxa" w:w="1987"/>
          </w:tcPr>
          <w:p>
            <w:r>
              <w:t>128 scale + 128 shift</w:t>
            </w:r>
          </w:p>
        </w:tc>
        <w:tc>
          <w:tcPr>
            <w:tcW w:type="dxa" w:w="1987"/>
          </w:tcPr>
          <w:p>
            <w:r>
              <w:t>256 trainable</w:t>
            </w:r>
          </w:p>
        </w:tc>
        <w:tc>
          <w:tcPr>
            <w:tcW w:type="dxa" w:w="1987"/>
          </w:tcPr>
          <w:p>
            <w:r>
              <w:t>+ running stats</w:t>
            </w:r>
          </w:p>
        </w:tc>
      </w:tr>
      <w:tr>
        <w:tc>
          <w:tcPr>
            <w:tcW w:type="dxa" w:w="1987"/>
          </w:tcPr>
          <w:p>
            <w:r>
              <w:t>classifier.6</w:t>
            </w:r>
          </w:p>
        </w:tc>
        <w:tc>
          <w:tcPr>
            <w:tcW w:type="dxa" w:w="1987"/>
          </w:tcPr>
          <w:p>
            <w:r>
              <w:t>ReLU</w:t>
            </w:r>
          </w:p>
        </w:tc>
        <w:tc>
          <w:tcPr>
            <w:tcW w:type="dxa" w:w="1987"/>
          </w:tcPr>
          <w:p>
            <w:r>
              <w:t>—</w:t>
            </w:r>
          </w:p>
        </w:tc>
        <w:tc>
          <w:tcPr>
            <w:tcW w:type="dxa" w:w="1987"/>
          </w:tcPr>
          <w:p>
            <w:r>
              <w:t>0</w:t>
            </w:r>
          </w:p>
        </w:tc>
        <w:tc>
          <w:tcPr>
            <w:tcW w:type="dxa" w:w="1987"/>
          </w:tcPr>
          <w:p>
            <w:r>
              <w:t>Activation</w:t>
            </w:r>
          </w:p>
        </w:tc>
      </w:tr>
      <w:tr>
        <w:tc>
          <w:tcPr>
            <w:tcW w:type="dxa" w:w="1987"/>
          </w:tcPr>
          <w:p>
            <w:r>
              <w:t>classifier.7</w:t>
            </w:r>
          </w:p>
        </w:tc>
        <w:tc>
          <w:tcPr>
            <w:tcW w:type="dxa" w:w="1987"/>
          </w:tcPr>
          <w:p>
            <w:r>
              <w:t>Dropout</w:t>
            </w:r>
          </w:p>
        </w:tc>
        <w:tc>
          <w:tcPr>
            <w:tcW w:type="dxa" w:w="1987"/>
          </w:tcPr>
          <w:p>
            <w:r>
              <w:t>—</w:t>
            </w:r>
          </w:p>
        </w:tc>
        <w:tc>
          <w:tcPr>
            <w:tcW w:type="dxa" w:w="1987"/>
          </w:tcPr>
          <w:p>
            <w:r>
              <w:t>0</w:t>
            </w:r>
          </w:p>
        </w:tc>
        <w:tc>
          <w:tcPr>
            <w:tcW w:type="dxa" w:w="1987"/>
          </w:tcPr>
          <w:p>
            <w:r>
              <w:t>Regularization</w:t>
            </w:r>
          </w:p>
        </w:tc>
      </w:tr>
      <w:tr>
        <w:tc>
          <w:tcPr>
            <w:tcW w:type="dxa" w:w="1987"/>
          </w:tcPr>
          <w:p>
            <w:r>
              <w:t>classifier.8</w:t>
            </w:r>
          </w:p>
        </w:tc>
        <w:tc>
          <w:tcPr>
            <w:tcW w:type="dxa" w:w="1987"/>
          </w:tcPr>
          <w:p>
            <w:r>
              <w:t>Linear(128 -&gt; 64)</w:t>
            </w:r>
          </w:p>
        </w:tc>
        <w:tc>
          <w:tcPr>
            <w:tcW w:type="dxa" w:w="1987"/>
          </w:tcPr>
          <w:p>
            <w:r>
              <w:t>(64, 128) + bias 64</w:t>
            </w:r>
          </w:p>
        </w:tc>
        <w:tc>
          <w:tcPr>
            <w:tcW w:type="dxa" w:w="1987"/>
          </w:tcPr>
          <w:p>
            <w:r>
              <w:t>8,256</w:t>
            </w:r>
          </w:p>
        </w:tc>
        <w:tc>
          <w:tcPr>
            <w:tcW w:type="dxa" w:w="1987"/>
          </w:tcPr>
          <w:p>
            <w:r>
              <w:t>Hidden block 3</w:t>
            </w:r>
          </w:p>
        </w:tc>
      </w:tr>
      <w:tr>
        <w:tc>
          <w:tcPr>
            <w:tcW w:type="dxa" w:w="1987"/>
          </w:tcPr>
          <w:p>
            <w:r>
              <w:t>classifier.9</w:t>
            </w:r>
          </w:p>
        </w:tc>
        <w:tc>
          <w:tcPr>
            <w:tcW w:type="dxa" w:w="1987"/>
          </w:tcPr>
          <w:p>
            <w:r>
              <w:t>BatchNorm1d(64)</w:t>
            </w:r>
          </w:p>
        </w:tc>
        <w:tc>
          <w:tcPr>
            <w:tcW w:type="dxa" w:w="1987"/>
          </w:tcPr>
          <w:p>
            <w:r>
              <w:t>64 scale + 64 shift</w:t>
            </w:r>
          </w:p>
        </w:tc>
        <w:tc>
          <w:tcPr>
            <w:tcW w:type="dxa" w:w="1987"/>
          </w:tcPr>
          <w:p>
            <w:r>
              <w:t>128 trainable</w:t>
            </w:r>
          </w:p>
        </w:tc>
        <w:tc>
          <w:tcPr>
            <w:tcW w:type="dxa" w:w="1987"/>
          </w:tcPr>
          <w:p>
            <w:r>
              <w:t>+ running stats</w:t>
            </w:r>
          </w:p>
        </w:tc>
      </w:tr>
      <w:tr>
        <w:tc>
          <w:tcPr>
            <w:tcW w:type="dxa" w:w="1987"/>
          </w:tcPr>
          <w:p>
            <w:r>
              <w:t>classifier.10</w:t>
            </w:r>
          </w:p>
        </w:tc>
        <w:tc>
          <w:tcPr>
            <w:tcW w:type="dxa" w:w="1987"/>
          </w:tcPr>
          <w:p>
            <w:r>
              <w:t>ReLU</w:t>
            </w:r>
          </w:p>
        </w:tc>
        <w:tc>
          <w:tcPr>
            <w:tcW w:type="dxa" w:w="1987"/>
          </w:tcPr>
          <w:p>
            <w:r>
              <w:t>—</w:t>
            </w:r>
          </w:p>
        </w:tc>
        <w:tc>
          <w:tcPr>
            <w:tcW w:type="dxa" w:w="1987"/>
          </w:tcPr>
          <w:p>
            <w:r>
              <w:t>0</w:t>
            </w:r>
          </w:p>
        </w:tc>
        <w:tc>
          <w:tcPr>
            <w:tcW w:type="dxa" w:w="1987"/>
          </w:tcPr>
          <w:p>
            <w:r>
              <w:t>Activation</w:t>
            </w:r>
          </w:p>
        </w:tc>
      </w:tr>
      <w:tr>
        <w:tc>
          <w:tcPr>
            <w:tcW w:type="dxa" w:w="1987"/>
          </w:tcPr>
          <w:p>
            <w:r>
              <w:t>classifier.11</w:t>
            </w:r>
          </w:p>
        </w:tc>
        <w:tc>
          <w:tcPr>
            <w:tcW w:type="dxa" w:w="1987"/>
          </w:tcPr>
          <w:p>
            <w:r>
              <w:t>Dropout</w:t>
            </w:r>
          </w:p>
        </w:tc>
        <w:tc>
          <w:tcPr>
            <w:tcW w:type="dxa" w:w="1987"/>
          </w:tcPr>
          <w:p>
            <w:r>
              <w:t>—</w:t>
            </w:r>
          </w:p>
        </w:tc>
        <w:tc>
          <w:tcPr>
            <w:tcW w:type="dxa" w:w="1987"/>
          </w:tcPr>
          <w:p>
            <w:r>
              <w:t>0</w:t>
            </w:r>
          </w:p>
        </w:tc>
        <w:tc>
          <w:tcPr>
            <w:tcW w:type="dxa" w:w="1987"/>
          </w:tcPr>
          <w:p>
            <w:r>
              <w:t>Regularization</w:t>
            </w:r>
          </w:p>
        </w:tc>
      </w:tr>
      <w:tr>
        <w:tc>
          <w:tcPr>
            <w:tcW w:type="dxa" w:w="1987"/>
          </w:tcPr>
          <w:p>
            <w:r>
              <w:t>classifier.12</w:t>
            </w:r>
          </w:p>
        </w:tc>
        <w:tc>
          <w:tcPr>
            <w:tcW w:type="dxa" w:w="1987"/>
          </w:tcPr>
          <w:p>
            <w:r>
              <w:t>Linear(64 -&gt; N classes)</w:t>
            </w:r>
          </w:p>
        </w:tc>
        <w:tc>
          <w:tcPr>
            <w:tcW w:type="dxa" w:w="1987"/>
          </w:tcPr>
          <w:p>
            <w:r>
              <w:t>PHQ-9: (6,64)+6 / EPDS: (3,64)+3</w:t>
            </w:r>
          </w:p>
        </w:tc>
        <w:tc>
          <w:tcPr>
            <w:tcW w:type="dxa" w:w="1987"/>
          </w:tcPr>
          <w:p>
            <w:r>
              <w:t>PHQ-9: 390 / EPDS: 195</w:t>
            </w:r>
          </w:p>
        </w:tc>
        <w:tc>
          <w:tcPr>
            <w:tcW w:type="dxa" w:w="1987"/>
          </w:tcPr>
          <w:p>
            <w:r>
              <w:t>Output logits layer</w:t>
            </w:r>
          </w:p>
        </w:tc>
      </w:tr>
    </w:tbl>
    <w:p/>
    <w:p>
      <w:r>
        <w:rPr>
          <w:b/>
          <w:color w:val="E87A2E"/>
        </w:rPr>
        <w:t xml:space="preserve">Dropout rate honesty note: </w:t>
      </w:r>
      <w:r>
        <w:rPr>
          <w:i/>
        </w:rPr>
        <w:t>Dropout layers carry no learnable weights, so the exact dropout probability (a common choice would be 0.3–0.5) is a training-time hyperparameter that is not recoverable from the saved .pth file. What is confirmed with certainty from the checkpoint structure is that a Dropout layer exists after every ReLU in the classifier head (3 dropout layers total), which is a strong, standard regularization choice for a small tabular dataset of only ~560 effective training rows.</w:t>
      </w:r>
    </w:p>
    <w:p>
      <w:pPr>
        <w:pStyle w:val="Heading2"/>
      </w:pPr>
      <w:r>
        <w:t>5.5 Output Layer</w:t>
      </w:r>
    </w:p>
    <w:p>
      <w:pPr>
        <w:pStyle w:val="ListBullet"/>
      </w:pPr>
      <w:r>
        <w:t>PHQ-9 head: final Linear(64 -&gt; 6), producing 6 raw class scores (logits), converted to probabilities by Softmax.</w:t>
      </w:r>
    </w:p>
    <w:p>
      <w:pPr>
        <w:pStyle w:val="ListBullet"/>
      </w:pPr>
      <w:r>
        <w:t>EPDS head: final Linear(64 -&gt; 3), producing 3 raw class scores (logits), converted to probabilities by Softmax.</w:t>
      </w:r>
    </w:p>
    <w:p>
      <w:pPr>
        <w:jc w:val="center"/>
      </w:pPr>
      <w:r>
        <w:rPr>
          <w:rFonts w:ascii="Cambria Math" w:hAnsi="Cambria Math"/>
          <w:b/>
          <w:sz w:val="24"/>
        </w:rPr>
        <w:t>P(class = k | x) = exp(logit_k) / Σⱼ exp(logit_j)</w:t>
      </w:r>
    </w:p>
    <w:p>
      <w:pPr>
        <w:pStyle w:val="Heading2"/>
      </w:pPr>
      <w:r>
        <w:t>5.6 Total Parameter Count (Directly Counted From the Saved Checkpoints)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b/>
              </w:rPr>
              <w:t>Branch</w:t>
            </w:r>
          </w:p>
        </w:tc>
        <w:tc>
          <w:tcPr>
            <w:tcW w:type="dxa" w:w="2484"/>
          </w:tcPr>
          <w:p>
            <w:r>
              <w:rPr>
                <w:b/>
              </w:rPr>
              <w:t>Trainable parameters</w:t>
            </w:r>
          </w:p>
        </w:tc>
        <w:tc>
          <w:tcPr>
            <w:tcW w:type="dxa" w:w="2484"/>
          </w:tcPr>
          <w:p>
            <w:r>
              <w:rPr>
                <w:b/>
              </w:rPr>
              <w:t>Non-trainable BatchNorm running-statistic buffers</w:t>
            </w:r>
          </w:p>
        </w:tc>
        <w:tc>
          <w:tcPr>
            <w:tcW w:type="dxa" w:w="2484"/>
          </w:tcPr>
          <w:p>
            <w:r>
              <w:rPr>
                <w:b/>
              </w:rPr>
              <w:t>Total stored tensors</w:t>
            </w:r>
          </w:p>
        </w:tc>
      </w:tr>
      <w:tr>
        <w:tc>
          <w:tcPr>
            <w:tcW w:type="dxa" w:w="2484"/>
          </w:tcPr>
          <w:p>
            <w:r>
              <w:t>PHQ-9 CNN (ppd_cnn_phq9_best.pth)</w:t>
            </w:r>
          </w:p>
        </w:tc>
        <w:tc>
          <w:tcPr>
            <w:tcW w:type="dxa" w:w="2484"/>
          </w:tcPr>
          <w:p>
            <w:r>
              <w:t>131,366</w:t>
            </w:r>
          </w:p>
        </w:tc>
        <w:tc>
          <w:tcPr>
            <w:tcW w:type="dxa" w:w="2484"/>
          </w:tcPr>
          <w:p>
            <w:r>
              <w:t>1,350</w:t>
            </w:r>
          </w:p>
        </w:tc>
        <w:tc>
          <w:tcPr>
            <w:tcW w:type="dxa" w:w="2484"/>
          </w:tcPr>
          <w:p>
            <w:r>
              <w:t>132,716</w:t>
            </w:r>
          </w:p>
        </w:tc>
      </w:tr>
      <w:tr>
        <w:tc>
          <w:tcPr>
            <w:tcW w:type="dxa" w:w="2484"/>
          </w:tcPr>
          <w:p>
            <w:r>
              <w:t>EPDS CNN (ppd_cnn_epds_best.pth)</w:t>
            </w:r>
          </w:p>
        </w:tc>
        <w:tc>
          <w:tcPr>
            <w:tcW w:type="dxa" w:w="2484"/>
          </w:tcPr>
          <w:p>
            <w:r>
              <w:t>131,171</w:t>
            </w:r>
          </w:p>
        </w:tc>
        <w:tc>
          <w:tcPr>
            <w:tcW w:type="dxa" w:w="2484"/>
          </w:tcPr>
          <w:p>
            <w:r>
              <w:t>1,350</w:t>
            </w:r>
          </w:p>
        </w:tc>
        <w:tc>
          <w:tcPr>
            <w:tcW w:type="dxa" w:w="2484"/>
          </w:tcPr>
          <w:p>
            <w:r>
              <w:t>132,521</w:t>
            </w:r>
          </w:p>
        </w:tc>
      </w:tr>
    </w:tbl>
    <w:p/>
    <w:p>
      <w:r>
        <w:t>The two branches are almost identical in size — the only structural difference between them is the very last layer (6 output classes for PHQ-9 vs. 3 output classes for EPDS), a difference of exactly 195 parameters, which matches precisely what is measured (132,716 − 132,521 = 195).</w:t>
      </w:r>
    </w:p>
    <w:p>
      <w:pPr>
        <w:pStyle w:val="Heading2"/>
      </w:pPr>
      <w:r>
        <w:t>5.7 Training Behaviour (From the Results Report)</w:t>
      </w:r>
    </w:p>
    <w:p>
      <w:pPr>
        <w:jc w:val="center"/>
      </w:pPr>
      <w:r>
        <w:drawing>
          <wp:inline xmlns:a="http://schemas.openxmlformats.org/drawingml/2006/main" xmlns:pic="http://schemas.openxmlformats.org/drawingml/2006/picture">
            <wp:extent cx="5760720" cy="1587685"/>
            <wp:docPr id="4" name="Picture 4"/>
            <wp:cNvGraphicFramePr>
              <a:graphicFrameLocks noChangeAspect="1"/>
            </wp:cNvGraphicFramePr>
            <a:graphic>
              <a:graphicData uri="http://schemas.openxmlformats.org/drawingml/2006/picture">
                <pic:pic>
                  <pic:nvPicPr>
                    <pic:cNvPr id="0" name="training_curves_phq9.png"/>
                    <pic:cNvPicPr/>
                  </pic:nvPicPr>
                  <pic:blipFill>
                    <a:blip r:embed="rId12"/>
                    <a:stretch>
                      <a:fillRect/>
                    </a:stretch>
                  </pic:blipFill>
                  <pic:spPr>
                    <a:xfrm>
                      <a:off x="0" y="0"/>
                      <a:ext cx="5760720" cy="1587685"/>
                    </a:xfrm>
                    <a:prstGeom prst="rect"/>
                  </pic:spPr>
                </pic:pic>
              </a:graphicData>
            </a:graphic>
          </wp:inline>
        </w:drawing>
      </w:r>
    </w:p>
    <w:p>
      <w:pPr>
        <w:jc w:val="center"/>
      </w:pPr>
      <w:r>
        <w:rPr>
          <w:i/>
          <w:sz w:val="19"/>
        </w:rPr>
        <w:t>Figure 4. PHQ-9 training curves — loss decreasing steadily, validation accuracy and weighted F1 rising and stabilizing.</w:t>
      </w:r>
    </w:p>
    <w:p>
      <w:pPr>
        <w:jc w:val="center"/>
      </w:pPr>
      <w:r>
        <w:drawing>
          <wp:inline xmlns:a="http://schemas.openxmlformats.org/drawingml/2006/main" xmlns:pic="http://schemas.openxmlformats.org/drawingml/2006/picture">
            <wp:extent cx="5760720" cy="1587685"/>
            <wp:docPr id="5" name="Picture 5"/>
            <wp:cNvGraphicFramePr>
              <a:graphicFrameLocks noChangeAspect="1"/>
            </wp:cNvGraphicFramePr>
            <a:graphic>
              <a:graphicData uri="http://schemas.openxmlformats.org/drawingml/2006/picture">
                <pic:pic>
                  <pic:nvPicPr>
                    <pic:cNvPr id="0" name="training_curves_epds.png"/>
                    <pic:cNvPicPr/>
                  </pic:nvPicPr>
                  <pic:blipFill>
                    <a:blip r:embed="rId13"/>
                    <a:stretch>
                      <a:fillRect/>
                    </a:stretch>
                  </pic:blipFill>
                  <pic:spPr>
                    <a:xfrm>
                      <a:off x="0" y="0"/>
                      <a:ext cx="5760720" cy="1587685"/>
                    </a:xfrm>
                    <a:prstGeom prst="rect"/>
                  </pic:spPr>
                </pic:pic>
              </a:graphicData>
            </a:graphic>
          </wp:inline>
        </w:drawing>
      </w:r>
    </w:p>
    <w:p>
      <w:pPr>
        <w:jc w:val="center"/>
      </w:pPr>
      <w:r>
        <w:rPr>
          <w:i/>
          <w:sz w:val="19"/>
        </w:rPr>
        <w:t>Figure 5. EPDS training curves — similarly stable convergence for the 3-class task.</w:t>
      </w:r>
    </w:p>
    <w:p>
      <w:r>
        <w:t>Both branches show smooth, non-oscillatory convergence with no signs of catastrophic overfitting — validation accuracy and weighted F1 track each other closely, which suggests the minority severity classes are being learned rather than ignored.</w:t>
      </w:r>
    </w:p>
    <w:p>
      <w:pPr>
        <w:pStyle w:val="Heading1"/>
      </w:pPr>
      <w:r>
        <w:t>6. Branch B — Tuned RBF-SVM (Exact Hyperparameters and Support Vectors)</w:t>
      </w:r>
    </w:p>
    <w:p>
      <w:r>
        <w:t>The second branch is a Support Vector Machine with a Radial Basis Function (RBF) kernel — a classical, non-neural decision boundary learner that, in this project, repeatedly outperformed the CNN branch on validation weighted F1 for this tabular, relatively small dataset.</w:t>
      </w:r>
    </w:p>
    <w:p>
      <w:pPr>
        <w:jc w:val="center"/>
      </w:pPr>
      <w:r>
        <w:rPr>
          <w:rFonts w:ascii="Cambria Math" w:hAnsi="Cambria Math"/>
          <w:b/>
          <w:sz w:val="24"/>
        </w:rPr>
        <w:t>K(x, x′) = exp( −γ · ‖x − x′‖² )</w:t>
      </w:r>
    </w:p>
    <w:p>
      <w:r>
        <w:t>γ (gamma) controls how far the influence of a single training example reaches; C controls how much the model is penalized for misclassifying a point (a tighter, more complex boundary vs. a smoother one).</w:t>
      </w:r>
    </w:p>
    <w:p>
      <w:pPr>
        <w:pStyle w:val="Heading2"/>
      </w:pPr>
      <w:r>
        <w:t>6.1 Score-Free Task-Adaptive SVM (46 input features — matches the poster's 'Tuned RBF-SVM Decision Branch')</w:t>
      </w:r>
    </w:p>
    <w:tbl>
      <w:tblPr>
        <w:tblStyle w:val="LightGrid-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Task</w:t>
            </w:r>
          </w:p>
        </w:tc>
        <w:tc>
          <w:tcPr>
            <w:tcW w:type="dxa" w:w="1242"/>
          </w:tcPr>
          <w:p>
            <w:r>
              <w:rPr>
                <w:b/>
              </w:rPr>
              <w:t>Kernel</w:t>
            </w:r>
          </w:p>
        </w:tc>
        <w:tc>
          <w:tcPr>
            <w:tcW w:type="dxa" w:w="1242"/>
          </w:tcPr>
          <w:p>
            <w:r>
              <w:rPr>
                <w:b/>
              </w:rPr>
              <w:t>C</w:t>
            </w:r>
          </w:p>
        </w:tc>
        <w:tc>
          <w:tcPr>
            <w:tcW w:type="dxa" w:w="1242"/>
          </w:tcPr>
          <w:p>
            <w:r>
              <w:rPr>
                <w:b/>
              </w:rPr>
              <w:t>gamma</w:t>
            </w:r>
          </w:p>
        </w:tc>
        <w:tc>
          <w:tcPr>
            <w:tcW w:type="dxa" w:w="1242"/>
          </w:tcPr>
          <w:p>
            <w:r>
              <w:rPr>
                <w:b/>
              </w:rPr>
              <w:t>Input features</w:t>
            </w:r>
          </w:p>
        </w:tc>
        <w:tc>
          <w:tcPr>
            <w:tcW w:type="dxa" w:w="1242"/>
          </w:tcPr>
          <w:p>
            <w:r>
              <w:rPr>
                <w:b/>
              </w:rPr>
              <w:t>Classes</w:t>
            </w:r>
          </w:p>
        </w:tc>
        <w:tc>
          <w:tcPr>
            <w:tcW w:type="dxa" w:w="1242"/>
          </w:tcPr>
          <w:p>
            <w:r>
              <w:rPr>
                <w:b/>
              </w:rPr>
              <w:t>Total support vectors</w:t>
            </w:r>
          </w:p>
        </w:tc>
        <w:tc>
          <w:tcPr>
            <w:tcW w:type="dxa" w:w="1242"/>
          </w:tcPr>
          <w:p>
            <w:r>
              <w:rPr>
                <w:b/>
              </w:rPr>
              <w:t>Support vectors per class</w:t>
            </w:r>
          </w:p>
        </w:tc>
      </w:tr>
      <w:tr>
        <w:tc>
          <w:tcPr>
            <w:tcW w:type="dxa" w:w="1242"/>
          </w:tcPr>
          <w:p>
            <w:r>
              <w:t>PHQ-9 (6-class)</w:t>
            </w:r>
          </w:p>
        </w:tc>
        <w:tc>
          <w:tcPr>
            <w:tcW w:type="dxa" w:w="1242"/>
          </w:tcPr>
          <w:p>
            <w:r>
              <w:t>RBF</w:t>
            </w:r>
          </w:p>
        </w:tc>
        <w:tc>
          <w:tcPr>
            <w:tcW w:type="dxa" w:w="1242"/>
          </w:tcPr>
          <w:p>
            <w:r>
              <w:t>2.0</w:t>
            </w:r>
          </w:p>
        </w:tc>
        <w:tc>
          <w:tcPr>
            <w:tcW w:type="dxa" w:w="1242"/>
          </w:tcPr>
          <w:p>
            <w:r>
              <w:t>0.1</w:t>
            </w:r>
          </w:p>
        </w:tc>
        <w:tc>
          <w:tcPr>
            <w:tcW w:type="dxa" w:w="1242"/>
          </w:tcPr>
          <w:p>
            <w:r>
              <w:t>46</w:t>
            </w:r>
          </w:p>
        </w:tc>
        <w:tc>
          <w:tcPr>
            <w:tcW w:type="dxa" w:w="1242"/>
          </w:tcPr>
          <w:p>
            <w:r>
              <w:t>6</w:t>
            </w:r>
          </w:p>
        </w:tc>
        <w:tc>
          <w:tcPr>
            <w:tcW w:type="dxa" w:w="1242"/>
          </w:tcPr>
          <w:p>
            <w:r>
              <w:t>814</w:t>
            </w:r>
          </w:p>
        </w:tc>
        <w:tc>
          <w:tcPr>
            <w:tcW w:type="dxa" w:w="1242"/>
          </w:tcPr>
          <w:p>
            <w:r>
              <w:t>166, 136, 166, 164, 31, 151</w:t>
            </w:r>
          </w:p>
        </w:tc>
      </w:tr>
      <w:tr>
        <w:tc>
          <w:tcPr>
            <w:tcW w:type="dxa" w:w="1242"/>
          </w:tcPr>
          <w:p>
            <w:r>
              <w:t>EPDS (3-class)</w:t>
            </w:r>
          </w:p>
        </w:tc>
        <w:tc>
          <w:tcPr>
            <w:tcW w:type="dxa" w:w="1242"/>
          </w:tcPr>
          <w:p>
            <w:r>
              <w:t>RBF</w:t>
            </w:r>
          </w:p>
        </w:tc>
        <w:tc>
          <w:tcPr>
            <w:tcW w:type="dxa" w:w="1242"/>
          </w:tcPr>
          <w:p>
            <w:r>
              <w:t>3.0</w:t>
            </w:r>
          </w:p>
        </w:tc>
        <w:tc>
          <w:tcPr>
            <w:tcW w:type="dxa" w:w="1242"/>
          </w:tcPr>
          <w:p>
            <w:r>
              <w:t>0.05</w:t>
            </w:r>
          </w:p>
        </w:tc>
        <w:tc>
          <w:tcPr>
            <w:tcW w:type="dxa" w:w="1242"/>
          </w:tcPr>
          <w:p>
            <w:r>
              <w:t>46</w:t>
            </w:r>
          </w:p>
        </w:tc>
        <w:tc>
          <w:tcPr>
            <w:tcW w:type="dxa" w:w="1242"/>
          </w:tcPr>
          <w:p>
            <w:r>
              <w:t>3</w:t>
            </w:r>
          </w:p>
        </w:tc>
        <w:tc>
          <w:tcPr>
            <w:tcW w:type="dxa" w:w="1242"/>
          </w:tcPr>
          <w:p>
            <w:r>
              <w:t>670</w:t>
            </w:r>
          </w:p>
        </w:tc>
        <w:tc>
          <w:tcPr>
            <w:tcW w:type="dxa" w:w="1242"/>
          </w:tcPr>
          <w:p>
            <w:r>
              <w:t>245, 217, 208</w:t>
            </w:r>
          </w:p>
        </w:tc>
      </w:tr>
    </w:tbl>
    <w:p/>
    <w:p>
      <w:pPr>
        <w:pStyle w:val="Heading2"/>
      </w:pPr>
      <w:r>
        <w:t>6.2 Enriched-Fusion SVM (49 input features — the higher-performing final configuration shown on the poster's comparison charts)</w:t>
      </w:r>
    </w:p>
    <w:p>
      <w:r>
        <w:t>A later iteration uses 3 additional engineered/fused features on top of the original 46 (49 total inputs), paired with a much larger C (more confidence in fitting the training data tightly) and a smaller gamma (a smoother, wider-reaching decision surface). This is the version whose bar reaches the highest accuracy and weighted F1 on the poster's 'Enriched Fusion Final' comparison charts.</w:t>
      </w:r>
    </w:p>
    <w:tbl>
      <w:tblPr>
        <w:tblStyle w:val="LightGrid-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Task</w:t>
            </w:r>
          </w:p>
        </w:tc>
        <w:tc>
          <w:tcPr>
            <w:tcW w:type="dxa" w:w="1242"/>
          </w:tcPr>
          <w:p>
            <w:r>
              <w:rPr>
                <w:b/>
              </w:rPr>
              <w:t>Kernel</w:t>
            </w:r>
          </w:p>
        </w:tc>
        <w:tc>
          <w:tcPr>
            <w:tcW w:type="dxa" w:w="1242"/>
          </w:tcPr>
          <w:p>
            <w:r>
              <w:rPr>
                <w:b/>
              </w:rPr>
              <w:t>C</w:t>
            </w:r>
          </w:p>
        </w:tc>
        <w:tc>
          <w:tcPr>
            <w:tcW w:type="dxa" w:w="1242"/>
          </w:tcPr>
          <w:p>
            <w:r>
              <w:rPr>
                <w:b/>
              </w:rPr>
              <w:t>gamma</w:t>
            </w:r>
          </w:p>
        </w:tc>
        <w:tc>
          <w:tcPr>
            <w:tcW w:type="dxa" w:w="1242"/>
          </w:tcPr>
          <w:p>
            <w:r>
              <w:rPr>
                <w:b/>
              </w:rPr>
              <w:t>Input features</w:t>
            </w:r>
          </w:p>
        </w:tc>
        <w:tc>
          <w:tcPr>
            <w:tcW w:type="dxa" w:w="1242"/>
          </w:tcPr>
          <w:p>
            <w:r>
              <w:rPr>
                <w:b/>
              </w:rPr>
              <w:t>Classes</w:t>
            </w:r>
          </w:p>
        </w:tc>
        <w:tc>
          <w:tcPr>
            <w:tcW w:type="dxa" w:w="1242"/>
          </w:tcPr>
          <w:p>
            <w:r>
              <w:rPr>
                <w:b/>
              </w:rPr>
              <w:t>Total support vectors</w:t>
            </w:r>
          </w:p>
        </w:tc>
        <w:tc>
          <w:tcPr>
            <w:tcW w:type="dxa" w:w="1242"/>
          </w:tcPr>
          <w:p>
            <w:r>
              <w:rPr>
                <w:b/>
              </w:rPr>
              <w:t>Support vectors per class</w:t>
            </w:r>
          </w:p>
        </w:tc>
      </w:tr>
      <w:tr>
        <w:tc>
          <w:tcPr>
            <w:tcW w:type="dxa" w:w="1242"/>
          </w:tcPr>
          <w:p>
            <w:r>
              <w:t>PHQ-9 (6-class)</w:t>
            </w:r>
          </w:p>
        </w:tc>
        <w:tc>
          <w:tcPr>
            <w:tcW w:type="dxa" w:w="1242"/>
          </w:tcPr>
          <w:p>
            <w:r>
              <w:t>RBF</w:t>
            </w:r>
          </w:p>
        </w:tc>
        <w:tc>
          <w:tcPr>
            <w:tcW w:type="dxa" w:w="1242"/>
          </w:tcPr>
          <w:p>
            <w:r>
              <w:t>20.0</w:t>
            </w:r>
          </w:p>
        </w:tc>
        <w:tc>
          <w:tcPr>
            <w:tcW w:type="dxa" w:w="1242"/>
          </w:tcPr>
          <w:p>
            <w:r>
              <w:t>0.01</w:t>
            </w:r>
          </w:p>
        </w:tc>
        <w:tc>
          <w:tcPr>
            <w:tcW w:type="dxa" w:w="1242"/>
          </w:tcPr>
          <w:p>
            <w:r>
              <w:t>49</w:t>
            </w:r>
          </w:p>
        </w:tc>
        <w:tc>
          <w:tcPr>
            <w:tcW w:type="dxa" w:w="1242"/>
          </w:tcPr>
          <w:p>
            <w:r>
              <w:t>6</w:t>
            </w:r>
          </w:p>
        </w:tc>
        <w:tc>
          <w:tcPr>
            <w:tcW w:type="dxa" w:w="1242"/>
          </w:tcPr>
          <w:p>
            <w:r>
              <w:t>622</w:t>
            </w:r>
          </w:p>
        </w:tc>
        <w:tc>
          <w:tcPr>
            <w:tcW w:type="dxa" w:w="1242"/>
          </w:tcPr>
          <w:p>
            <w:r>
              <w:t>150, 89, 162, 133, 13, 75</w:t>
            </w:r>
          </w:p>
        </w:tc>
      </w:tr>
      <w:tr>
        <w:tc>
          <w:tcPr>
            <w:tcW w:type="dxa" w:w="1242"/>
          </w:tcPr>
          <w:p>
            <w:r>
              <w:t>EPDS (3-class)</w:t>
            </w:r>
          </w:p>
        </w:tc>
        <w:tc>
          <w:tcPr>
            <w:tcW w:type="dxa" w:w="1242"/>
          </w:tcPr>
          <w:p>
            <w:r>
              <w:t>RBF</w:t>
            </w:r>
          </w:p>
        </w:tc>
        <w:tc>
          <w:tcPr>
            <w:tcW w:type="dxa" w:w="1242"/>
          </w:tcPr>
          <w:p>
            <w:r>
              <w:t>20.0</w:t>
            </w:r>
          </w:p>
        </w:tc>
        <w:tc>
          <w:tcPr>
            <w:tcW w:type="dxa" w:w="1242"/>
          </w:tcPr>
          <w:p>
            <w:r>
              <w:t>0.005</w:t>
            </w:r>
          </w:p>
        </w:tc>
        <w:tc>
          <w:tcPr>
            <w:tcW w:type="dxa" w:w="1242"/>
          </w:tcPr>
          <w:p>
            <w:r>
              <w:t>49</w:t>
            </w:r>
          </w:p>
        </w:tc>
        <w:tc>
          <w:tcPr>
            <w:tcW w:type="dxa" w:w="1242"/>
          </w:tcPr>
          <w:p>
            <w:r>
              <w:t>3</w:t>
            </w:r>
          </w:p>
        </w:tc>
        <w:tc>
          <w:tcPr>
            <w:tcW w:type="dxa" w:w="1242"/>
          </w:tcPr>
          <w:p>
            <w:r>
              <w:t>361</w:t>
            </w:r>
          </w:p>
        </w:tc>
        <w:tc>
          <w:tcPr>
            <w:tcW w:type="dxa" w:w="1242"/>
          </w:tcPr>
          <w:p>
            <w:r>
              <w:t>85, 109, 167</w:t>
            </w:r>
          </w:p>
        </w:tc>
      </w:tr>
    </w:tbl>
    <w:p/>
    <w:p>
      <w:r>
        <w:rPr>
          <w:b/>
          <w:color w:val="E87A2E"/>
        </w:rPr>
        <w:t xml:space="preserve">What the 3 extra features likely are: </w:t>
      </w:r>
      <w:r>
        <w:rPr>
          <w:i/>
        </w:rPr>
        <w:t>The exact identity of the 3 additional 'enriched fusion' features is not preserved as metadata inside the saved .joblib file, and the training script that produced this specific artifact is not present in this repository (only the resulting trained model file is). Based on the name 'enriched fusion' and the poster's framing, the most defensible description is that this configuration fuses a small number of additional engineered or CNN-derived signals on top of the original 46 score-free survey features — this should be confirmed against the original training notebook before being stated as definitive in a paper.</w:t>
      </w:r>
    </w:p>
    <w:p>
      <w:pPr>
        <w:pStyle w:val="ListBullet"/>
      </w:pPr>
      <w:r>
        <w:t>Both SVMs use probability=True, meaning Platt scaling is applied on top of the raw decision function so the model can output class probabilities, not just hard labels.</w:t>
      </w:r>
    </w:p>
    <w:p>
      <w:pPr>
        <w:pStyle w:val="ListBullet"/>
      </w:pPr>
      <w:r>
        <w:t>random_state=42 is fixed for reproducibility in every variant.</w:t>
      </w:r>
    </w:p>
    <w:p>
      <w:pPr>
        <w:pStyle w:val="ListBullet"/>
      </w:pPr>
      <w:r>
        <w:t>Support vectors are the actual training examples that sit on or inside the margin and therefore define the decision boundary — the SVM does not need to remember the other training rows once support vectors are identified.</w:t>
      </w:r>
    </w:p>
    <w:p>
      <w:pPr>
        <w:pStyle w:val="Heading1"/>
      </w:pPr>
      <w:r>
        <w:t>7. The Task-Adaptive Selector — How the System Chooses a Winner</w:t>
      </w:r>
    </w:p>
    <w:p>
      <w:r>
        <w:t>Rather than always trusting one model, the pipeline trains the CNN branch and the SVM branch in parallel for each task, evaluates both on the held-out validation split using weighted F1-score, and deploys whichever branch scores higher — independently for PHQ-9 and for EPDS. This is why the method is called 'task-adaptive': the winning architecture is not fixed in advance, it is chosen per task based on evidence.</w:t>
      </w:r>
    </w:p>
    <w:p>
      <w:pPr>
        <w:pStyle w:val="ListNumber"/>
      </w:pPr>
      <w:r>
        <w:t>Train the Attention-CNN branch on the training split.</w:t>
      </w:r>
    </w:p>
    <w:p>
      <w:pPr>
        <w:pStyle w:val="ListNumber"/>
      </w:pPr>
      <w:r>
        <w:t>Train the tuned RBF-SVM branch on the same training split.</w:t>
      </w:r>
    </w:p>
    <w:p>
      <w:pPr>
        <w:pStyle w:val="ListNumber"/>
      </w:pPr>
      <w:r>
        <w:t>Evaluate both branches on the validation split using weighted F1-score.</w:t>
      </w:r>
    </w:p>
    <w:p>
      <w:pPr>
        <w:pStyle w:val="ListNumber"/>
      </w:pPr>
      <w:r>
        <w:t>For PHQ-9: keep whichever branch has the higher validation weighted F1.</w:t>
      </w:r>
    </w:p>
    <w:p>
      <w:pPr>
        <w:pStyle w:val="ListNumber"/>
      </w:pPr>
      <w:r>
        <w:t>For EPDS: repeat the same comparison independently.</w:t>
      </w:r>
    </w:p>
    <w:p>
      <w:pPr>
        <w:pStyle w:val="ListNumber"/>
      </w:pPr>
      <w:r>
        <w:t>Report final test-set metrics only from the selected (winning) branch for each task.</w:t>
      </w:r>
    </w:p>
    <w:p>
      <w:r>
        <w:rPr>
          <w:b/>
          <w:color w:val="E87A2E"/>
        </w:rPr>
        <w:t xml:space="preserve">What actually won, per the Results Report: </w:t>
      </w:r>
      <w:r>
        <w:rPr>
          <w:i/>
        </w:rPr>
        <w:t>In the reported score-free experiment run, the tuned RBF-SVM branch outperformed the Attention-CNN branch on validation for both PHQ-9 and EPDS, so the deployed predictions for both tasks come from the SVM branch (or its enriched-fusion successor) rather than from the CNN branch alone in that run.</w:t>
      </w:r>
    </w:p>
    <w:p>
      <w:pPr>
        <w:pStyle w:val="Heading1"/>
      </w:pPr>
      <w:r>
        <w:t>8. Final Model Outputs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t>Task</w:t>
            </w:r>
          </w:p>
        </w:tc>
        <w:tc>
          <w:tcPr>
            <w:tcW w:type="dxa" w:w="3312"/>
          </w:tcPr>
          <w:p>
            <w:r>
              <w:rPr>
                <w:b/>
              </w:rPr>
              <w:t>Output classes</w:t>
            </w:r>
          </w:p>
        </w:tc>
        <w:tc>
          <w:tcPr>
            <w:tcW w:type="dxa" w:w="3312"/>
          </w:tcPr>
          <w:p>
            <w:r>
              <w:rPr>
                <w:b/>
              </w:rPr>
              <w:t>Class meaning</w:t>
            </w:r>
          </w:p>
        </w:tc>
      </w:tr>
      <w:tr>
        <w:tc>
          <w:tcPr>
            <w:tcW w:type="dxa" w:w="3312"/>
          </w:tcPr>
          <w:p>
            <w:r>
              <w:t>PHQ-9</w:t>
            </w:r>
          </w:p>
        </w:tc>
        <w:tc>
          <w:tcPr>
            <w:tcW w:type="dxa" w:w="3312"/>
          </w:tcPr>
          <w:p>
            <w:r>
              <w:t>6</w:t>
            </w:r>
          </w:p>
        </w:tc>
        <w:tc>
          <w:tcPr>
            <w:tcW w:type="dxa" w:w="3312"/>
          </w:tcPr>
          <w:p>
            <w:r>
              <w:t>Fine-grained PHQ-9 severity bands (exact text labels are set by the original notebook's label encoder)</w:t>
            </w:r>
          </w:p>
        </w:tc>
      </w:tr>
      <w:tr>
        <w:tc>
          <w:tcPr>
            <w:tcW w:type="dxa" w:w="3312"/>
          </w:tcPr>
          <w:p>
            <w:r>
              <w:t>EPDS</w:t>
            </w:r>
          </w:p>
        </w:tc>
        <w:tc>
          <w:tcPr>
            <w:tcW w:type="dxa" w:w="3312"/>
          </w:tcPr>
          <w:p>
            <w:r>
              <w:t>3</w:t>
            </w:r>
          </w:p>
        </w:tc>
        <w:tc>
          <w:tcPr>
            <w:tcW w:type="dxa" w:w="3312"/>
          </w:tcPr>
          <w:p>
            <w:r>
              <w:t>Low risk / Medium risk / High risk</w:t>
            </w:r>
          </w:p>
        </w:tc>
      </w:tr>
    </w:tbl>
    <w:p/>
    <w:p>
      <w:pPr>
        <w:pStyle w:val="Heading1"/>
      </w:pPr>
      <w:r>
        <w:t>9. Measured Performance</w:t>
      </w:r>
    </w:p>
    <w:p>
      <w:pPr>
        <w:pStyle w:val="Heading2"/>
      </w:pPr>
      <w:r>
        <w:t>9.1 Final Test-Set Metrics (Score-Free Task-Adaptive Hybrid, as reported in the Results Report)</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Pr>
                <w:b/>
              </w:rPr>
              <w:t>Task</w:t>
            </w:r>
          </w:p>
        </w:tc>
        <w:tc>
          <w:tcPr>
            <w:tcW w:type="dxa" w:w="1987"/>
          </w:tcPr>
          <w:p>
            <w:r>
              <w:rPr>
                <w:b/>
              </w:rPr>
              <w:t>Accuracy</w:t>
            </w:r>
          </w:p>
        </w:tc>
        <w:tc>
          <w:tcPr>
            <w:tcW w:type="dxa" w:w="1987"/>
          </w:tcPr>
          <w:p>
            <w:r>
              <w:rPr>
                <w:b/>
              </w:rPr>
              <w:t>Weighted F1</w:t>
            </w:r>
          </w:p>
        </w:tc>
        <w:tc>
          <w:tcPr>
            <w:tcW w:type="dxa" w:w="1987"/>
          </w:tcPr>
          <w:p>
            <w:r>
              <w:rPr>
                <w:b/>
              </w:rPr>
              <w:t>Weighted Precision</w:t>
            </w:r>
          </w:p>
        </w:tc>
        <w:tc>
          <w:tcPr>
            <w:tcW w:type="dxa" w:w="1987"/>
          </w:tcPr>
          <w:p>
            <w:r>
              <w:rPr>
                <w:b/>
              </w:rPr>
              <w:t>Weighted Recall</w:t>
            </w:r>
          </w:p>
        </w:tc>
      </w:tr>
      <w:tr>
        <w:tc>
          <w:tcPr>
            <w:tcW w:type="dxa" w:w="1987"/>
          </w:tcPr>
          <w:p>
            <w:r>
              <w:t>PHQ-9 (6-class)</w:t>
            </w:r>
          </w:p>
        </w:tc>
        <w:tc>
          <w:tcPr>
            <w:tcW w:type="dxa" w:w="1987"/>
          </w:tcPr>
          <w:p>
            <w:r>
              <w:t>80.37%</w:t>
            </w:r>
          </w:p>
        </w:tc>
        <w:tc>
          <w:tcPr>
            <w:tcW w:type="dxa" w:w="1987"/>
          </w:tcPr>
          <w:p>
            <w:r>
              <w:t>81.61%</w:t>
            </w:r>
          </w:p>
        </w:tc>
        <w:tc>
          <w:tcPr>
            <w:tcW w:type="dxa" w:w="1987"/>
          </w:tcPr>
          <w:p>
            <w:r>
              <w:t>85.56%</w:t>
            </w:r>
          </w:p>
        </w:tc>
        <w:tc>
          <w:tcPr>
            <w:tcW w:type="dxa" w:w="1987"/>
          </w:tcPr>
          <w:p>
            <w:r>
              <w:t>80.37%</w:t>
            </w:r>
          </w:p>
        </w:tc>
      </w:tr>
      <w:tr>
        <w:tc>
          <w:tcPr>
            <w:tcW w:type="dxa" w:w="1987"/>
          </w:tcPr>
          <w:p>
            <w:r>
              <w:t>EPDS (3-class)</w:t>
            </w:r>
          </w:p>
        </w:tc>
        <w:tc>
          <w:tcPr>
            <w:tcW w:type="dxa" w:w="1987"/>
          </w:tcPr>
          <w:p>
            <w:r>
              <w:t>82.91%</w:t>
            </w:r>
          </w:p>
        </w:tc>
        <w:tc>
          <w:tcPr>
            <w:tcW w:type="dxa" w:w="1987"/>
          </w:tcPr>
          <w:p>
            <w:r>
              <w:t>83.04%</w:t>
            </w:r>
          </w:p>
        </w:tc>
        <w:tc>
          <w:tcPr>
            <w:tcW w:type="dxa" w:w="1987"/>
          </w:tcPr>
          <w:p>
            <w:r>
              <w:t>83.58%</w:t>
            </w:r>
          </w:p>
        </w:tc>
        <w:tc>
          <w:tcPr>
            <w:tcW w:type="dxa" w:w="1987"/>
          </w:tcPr>
          <w:p>
            <w:r>
              <w:t>82.91%</w:t>
            </w:r>
          </w:p>
        </w:tc>
      </w:tr>
    </w:tbl>
    <w:p/>
    <w:p>
      <w:pPr>
        <w:pStyle w:val="Heading2"/>
      </w:pPr>
      <w:r>
        <w:t>9.2 PHQ-9 Baseline Comparison (score-free setting)</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Pr>
                <w:b/>
              </w:rPr>
              <w:t>Model</w:t>
            </w:r>
          </w:p>
        </w:tc>
        <w:tc>
          <w:tcPr>
            <w:tcW w:type="dxa" w:w="3312"/>
          </w:tcPr>
          <w:p>
            <w:r>
              <w:rPr>
                <w:b/>
              </w:rPr>
              <w:t>Accuracy</w:t>
            </w:r>
          </w:p>
        </w:tc>
        <w:tc>
          <w:tcPr>
            <w:tcW w:type="dxa" w:w="3312"/>
          </w:tcPr>
          <w:p>
            <w:r>
              <w:rPr>
                <w:b/>
              </w:rPr>
              <w:t>Weighted F1</w:t>
            </w:r>
          </w:p>
        </w:tc>
      </w:tr>
      <w:tr>
        <w:tc>
          <w:tcPr>
            <w:tcW w:type="dxa" w:w="3312"/>
          </w:tcPr>
          <w:p>
            <w:r>
              <w:t>Logistic Regression</w:t>
            </w:r>
          </w:p>
        </w:tc>
        <w:tc>
          <w:tcPr>
            <w:tcW w:type="dxa" w:w="3312"/>
          </w:tcPr>
          <w:p>
            <w:r>
              <w:t>58.88%</w:t>
            </w:r>
          </w:p>
        </w:tc>
        <w:tc>
          <w:tcPr>
            <w:tcW w:type="dxa" w:w="3312"/>
          </w:tcPr>
          <w:p>
            <w:r>
              <w:t>—</w:t>
            </w:r>
          </w:p>
        </w:tc>
      </w:tr>
      <w:tr>
        <w:tc>
          <w:tcPr>
            <w:tcW w:type="dxa" w:w="3312"/>
          </w:tcPr>
          <w:p>
            <w:r>
              <w:t>Random Forest</w:t>
            </w:r>
          </w:p>
        </w:tc>
        <w:tc>
          <w:tcPr>
            <w:tcW w:type="dxa" w:w="3312"/>
          </w:tcPr>
          <w:p>
            <w:r>
              <w:t>70.09%</w:t>
            </w:r>
          </w:p>
        </w:tc>
        <w:tc>
          <w:tcPr>
            <w:tcW w:type="dxa" w:w="3312"/>
          </w:tcPr>
          <w:p>
            <w:r>
              <w:t>—</w:t>
            </w:r>
          </w:p>
        </w:tc>
      </w:tr>
      <w:tr>
        <w:tc>
          <w:tcPr>
            <w:tcW w:type="dxa" w:w="3312"/>
          </w:tcPr>
          <w:p>
            <w:r>
              <w:t>Gradient Boosting</w:t>
            </w:r>
          </w:p>
        </w:tc>
        <w:tc>
          <w:tcPr>
            <w:tcW w:type="dxa" w:w="3312"/>
          </w:tcPr>
          <w:p>
            <w:r>
              <w:t>56.54%</w:t>
            </w:r>
          </w:p>
        </w:tc>
        <w:tc>
          <w:tcPr>
            <w:tcW w:type="dxa" w:w="3312"/>
          </w:tcPr>
          <w:p>
            <w:r>
              <w:t>—</w:t>
            </w:r>
          </w:p>
        </w:tc>
      </w:tr>
      <w:tr>
        <w:tc>
          <w:tcPr>
            <w:tcW w:type="dxa" w:w="3312"/>
          </w:tcPr>
          <w:p>
            <w:r>
              <w:t>Generic RBF-SVM (untuned)</w:t>
            </w:r>
          </w:p>
        </w:tc>
        <w:tc>
          <w:tcPr>
            <w:tcW w:type="dxa" w:w="3312"/>
          </w:tcPr>
          <w:p>
            <w:r>
              <w:t>77.57%</w:t>
            </w:r>
          </w:p>
        </w:tc>
        <w:tc>
          <w:tcPr>
            <w:tcW w:type="dxa" w:w="3312"/>
          </w:tcPr>
          <w:p>
            <w:r>
              <w:t>76.68%</w:t>
            </w:r>
          </w:p>
        </w:tc>
      </w:tr>
      <w:tr>
        <w:tc>
          <w:tcPr>
            <w:tcW w:type="dxa" w:w="3312"/>
          </w:tcPr>
          <w:p>
            <w:r>
              <w:t>Attention-CNN branch alone</w:t>
            </w:r>
          </w:p>
        </w:tc>
        <w:tc>
          <w:tcPr>
            <w:tcW w:type="dxa" w:w="3312"/>
          </w:tcPr>
          <w:p>
            <w:r>
              <w:t>67.76%</w:t>
            </w:r>
          </w:p>
        </w:tc>
        <w:tc>
          <w:tcPr>
            <w:tcW w:type="dxa" w:w="3312"/>
          </w:tcPr>
          <w:p>
            <w:r>
              <w:t>68.88%</w:t>
            </w:r>
          </w:p>
        </w:tc>
      </w:tr>
      <w:tr>
        <w:tc>
          <w:tcPr>
            <w:tcW w:type="dxa" w:w="3312"/>
          </w:tcPr>
          <w:p>
            <w:r>
              <w:t>Final selected task-adaptive hybrid</w:t>
            </w:r>
          </w:p>
        </w:tc>
        <w:tc>
          <w:tcPr>
            <w:tcW w:type="dxa" w:w="3312"/>
          </w:tcPr>
          <w:p>
            <w:r>
              <w:t>80.37%</w:t>
            </w:r>
          </w:p>
        </w:tc>
        <w:tc>
          <w:tcPr>
            <w:tcW w:type="dxa" w:w="3312"/>
          </w:tcPr>
          <w:p>
            <w:r>
              <w:t>81.61%</w:t>
            </w:r>
          </w:p>
        </w:tc>
      </w:tr>
    </w:tbl>
    <w:p/>
    <w:p>
      <w:pPr>
        <w:jc w:val="center"/>
      </w:pPr>
      <w:r>
        <w:drawing>
          <wp:inline xmlns:a="http://schemas.openxmlformats.org/drawingml/2006/main" xmlns:pic="http://schemas.openxmlformats.org/drawingml/2006/picture">
            <wp:extent cx="5760720" cy="2034813"/>
            <wp:docPr id="6" name="Picture 6"/>
            <wp:cNvGraphicFramePr>
              <a:graphicFrameLocks noChangeAspect="1"/>
            </wp:cNvGraphicFramePr>
            <a:graphic>
              <a:graphicData uri="http://schemas.openxmlformats.org/drawingml/2006/picture">
                <pic:pic>
                  <pic:nvPicPr>
                    <pic:cNvPr id="0" name="baseline_comparison.png"/>
                    <pic:cNvPicPr/>
                  </pic:nvPicPr>
                  <pic:blipFill>
                    <a:blip r:embed="rId14"/>
                    <a:stretch>
                      <a:fillRect/>
                    </a:stretch>
                  </pic:blipFill>
                  <pic:spPr>
                    <a:xfrm>
                      <a:off x="0" y="0"/>
                      <a:ext cx="5760720" cy="2034813"/>
                    </a:xfrm>
                    <a:prstGeom prst="rect"/>
                  </pic:spPr>
                </pic:pic>
              </a:graphicData>
            </a:graphic>
          </wp:inline>
        </w:drawing>
      </w:r>
    </w:p>
    <w:p>
      <w:pPr>
        <w:jc w:val="center"/>
      </w:pPr>
      <w:r>
        <w:rPr>
          <w:i/>
          <w:sz w:val="19"/>
        </w:rPr>
        <w:t>Figure 6. Baseline comparison chart for the PHQ-9 task (score-free setting).</w:t>
      </w:r>
    </w:p>
    <w:p>
      <w:r>
        <w:rPr>
          <w:b/>
          <w:color w:val="E87A2E"/>
        </w:rPr>
        <w:t xml:space="preserve">Poster's further-improved figure: </w:t>
      </w:r>
      <w:r>
        <w:rPr>
          <w:i/>
        </w:rPr>
        <w:t>The poster's 'Enriched Fusion Final' bars show an even higher accuracy and weighted F1 (visually reading approximately the low-90s percent for both metrics on PHQ-9), corresponding to the 49-feature enriched-fusion SVM described in Section 6.2. This is the most recent and strongest iteration of the pipeline; precise decimal figures should be re-confirmed from the original notebook output before being quoted in a publication, since the poster chart is an image, not machine-readable text.</w:t>
      </w:r>
    </w:p>
    <w:p>
      <w:pPr>
        <w:pStyle w:val="Heading2"/>
      </w:pPr>
      <w:r>
        <w:t>9.3 Confusion Matrices</w:t>
      </w:r>
    </w:p>
    <w:p>
      <w:pPr>
        <w:jc w:val="center"/>
      </w:pPr>
      <w:r>
        <w:drawing>
          <wp:inline xmlns:a="http://schemas.openxmlformats.org/drawingml/2006/main" xmlns:pic="http://schemas.openxmlformats.org/drawingml/2006/picture">
            <wp:extent cx="5760720" cy="4553908"/>
            <wp:docPr id="7" name="Picture 7"/>
            <wp:cNvGraphicFramePr>
              <a:graphicFrameLocks noChangeAspect="1"/>
            </wp:cNvGraphicFramePr>
            <a:graphic>
              <a:graphicData uri="http://schemas.openxmlformats.org/drawingml/2006/picture">
                <pic:pic>
                  <pic:nvPicPr>
                    <pic:cNvPr id="0" name="phq9_confusion_matrix.png"/>
                    <pic:cNvPicPr/>
                  </pic:nvPicPr>
                  <pic:blipFill>
                    <a:blip r:embed="rId15"/>
                    <a:stretch>
                      <a:fillRect/>
                    </a:stretch>
                  </pic:blipFill>
                  <pic:spPr>
                    <a:xfrm>
                      <a:off x="0" y="0"/>
                      <a:ext cx="5760720" cy="4553908"/>
                    </a:xfrm>
                    <a:prstGeom prst="rect"/>
                  </pic:spPr>
                </pic:pic>
              </a:graphicData>
            </a:graphic>
          </wp:inline>
        </w:drawing>
      </w:r>
    </w:p>
    <w:p>
      <w:pPr>
        <w:jc w:val="center"/>
      </w:pPr>
      <w:r>
        <w:rPr>
          <w:i/>
          <w:sz w:val="19"/>
        </w:rPr>
        <w:t>Figure 7. PHQ-9 confusion matrix — strongly diagonal; remaining errors are mostly between clinically adjacent severity levels.</w:t>
      </w:r>
    </w:p>
    <w:p>
      <w:pPr>
        <w:jc w:val="center"/>
      </w:pPr>
      <w:r>
        <w:drawing>
          <wp:inline xmlns:a="http://schemas.openxmlformats.org/drawingml/2006/main" xmlns:pic="http://schemas.openxmlformats.org/drawingml/2006/picture">
            <wp:extent cx="5760720" cy="4627464"/>
            <wp:docPr id="8" name="Picture 8"/>
            <wp:cNvGraphicFramePr>
              <a:graphicFrameLocks noChangeAspect="1"/>
            </wp:cNvGraphicFramePr>
            <a:graphic>
              <a:graphicData uri="http://schemas.openxmlformats.org/drawingml/2006/picture">
                <pic:pic>
                  <pic:nvPicPr>
                    <pic:cNvPr id="0" name="epds_confusion_matrix.png"/>
                    <pic:cNvPicPr/>
                  </pic:nvPicPr>
                  <pic:blipFill>
                    <a:blip r:embed="rId16"/>
                    <a:stretch>
                      <a:fillRect/>
                    </a:stretch>
                  </pic:blipFill>
                  <pic:spPr>
                    <a:xfrm>
                      <a:off x="0" y="0"/>
                      <a:ext cx="5760720" cy="4627464"/>
                    </a:xfrm>
                    <a:prstGeom prst="rect"/>
                  </pic:spPr>
                </pic:pic>
              </a:graphicData>
            </a:graphic>
          </wp:inline>
        </w:drawing>
      </w:r>
    </w:p>
    <w:p>
      <w:pPr>
        <w:jc w:val="center"/>
      </w:pPr>
      <w:r>
        <w:rPr>
          <w:i/>
          <w:sz w:val="19"/>
        </w:rPr>
        <w:t>Figure 8. EPDS confusion matrix — dominant diagonal; misclassifications stay near neighboring risk bands.</w:t>
      </w:r>
    </w:p>
    <w:p>
      <w:pPr>
        <w:pStyle w:val="Heading2"/>
      </w:pPr>
      <w:r>
        <w:t>9.4 ROC Curves</w:t>
      </w:r>
    </w:p>
    <w:p>
      <w:pPr>
        <w:jc w:val="center"/>
      </w:pPr>
      <w:r>
        <w:drawing>
          <wp:inline xmlns:a="http://schemas.openxmlformats.org/drawingml/2006/main" xmlns:pic="http://schemas.openxmlformats.org/drawingml/2006/picture">
            <wp:extent cx="5760720" cy="4456570"/>
            <wp:docPr id="9" name="Picture 9"/>
            <wp:cNvGraphicFramePr>
              <a:graphicFrameLocks noChangeAspect="1"/>
            </wp:cNvGraphicFramePr>
            <a:graphic>
              <a:graphicData uri="http://schemas.openxmlformats.org/drawingml/2006/picture">
                <pic:pic>
                  <pic:nvPicPr>
                    <pic:cNvPr id="0" name="roc_phq9.png"/>
                    <pic:cNvPicPr/>
                  </pic:nvPicPr>
                  <pic:blipFill>
                    <a:blip r:embed="rId17"/>
                    <a:stretch>
                      <a:fillRect/>
                    </a:stretch>
                  </pic:blipFill>
                  <pic:spPr>
                    <a:xfrm>
                      <a:off x="0" y="0"/>
                      <a:ext cx="5760720" cy="4456570"/>
                    </a:xfrm>
                    <a:prstGeom prst="rect"/>
                  </pic:spPr>
                </pic:pic>
              </a:graphicData>
            </a:graphic>
          </wp:inline>
        </w:drawing>
      </w:r>
    </w:p>
    <w:p>
      <w:pPr>
        <w:jc w:val="center"/>
      </w:pPr>
      <w:r>
        <w:rPr>
          <w:i/>
          <w:sz w:val="19"/>
        </w:rPr>
        <w:t>Figure 9. One-vs-rest ROC curves for the 6 PHQ-9 classes.</w:t>
      </w:r>
    </w:p>
    <w:p>
      <w:pPr>
        <w:jc w:val="center"/>
      </w:pPr>
      <w:r>
        <w:drawing>
          <wp:inline xmlns:a="http://schemas.openxmlformats.org/drawingml/2006/main" xmlns:pic="http://schemas.openxmlformats.org/drawingml/2006/picture">
            <wp:extent cx="5760720" cy="4456570"/>
            <wp:docPr id="10" name="Picture 10"/>
            <wp:cNvGraphicFramePr>
              <a:graphicFrameLocks noChangeAspect="1"/>
            </wp:cNvGraphicFramePr>
            <a:graphic>
              <a:graphicData uri="http://schemas.openxmlformats.org/drawingml/2006/picture">
                <pic:pic>
                  <pic:nvPicPr>
                    <pic:cNvPr id="0" name="roc_epds.png"/>
                    <pic:cNvPicPr/>
                  </pic:nvPicPr>
                  <pic:blipFill>
                    <a:blip r:embed="rId18"/>
                    <a:stretch>
                      <a:fillRect/>
                    </a:stretch>
                  </pic:blipFill>
                  <pic:spPr>
                    <a:xfrm>
                      <a:off x="0" y="0"/>
                      <a:ext cx="5760720" cy="4456570"/>
                    </a:xfrm>
                    <a:prstGeom prst="rect"/>
                  </pic:spPr>
                </pic:pic>
              </a:graphicData>
            </a:graphic>
          </wp:inline>
        </w:drawing>
      </w:r>
    </w:p>
    <w:p>
      <w:pPr>
        <w:jc w:val="center"/>
      </w:pPr>
      <w:r>
        <w:rPr>
          <w:i/>
          <w:sz w:val="19"/>
        </w:rPr>
        <w:t>Figure 10. One-vs-rest ROC curves for the 3 EPDS classes.</w:t>
      </w:r>
    </w:p>
    <w:p>
      <w:pPr>
        <w:pStyle w:val="Heading2"/>
      </w:pPr>
      <w:r>
        <w:t>9.5 Class Distributions</w:t>
      </w:r>
    </w:p>
    <w:p>
      <w:pPr>
        <w:jc w:val="center"/>
      </w:pPr>
      <w:r>
        <w:drawing>
          <wp:inline xmlns:a="http://schemas.openxmlformats.org/drawingml/2006/main" xmlns:pic="http://schemas.openxmlformats.org/drawingml/2006/picture">
            <wp:extent cx="5760720" cy="1525652"/>
            <wp:docPr id="11" name="Picture 11"/>
            <wp:cNvGraphicFramePr>
              <a:graphicFrameLocks noChangeAspect="1"/>
            </wp:cNvGraphicFramePr>
            <a:graphic>
              <a:graphicData uri="http://schemas.openxmlformats.org/drawingml/2006/picture">
                <pic:pic>
                  <pic:nvPicPr>
                    <pic:cNvPr id="0" name="donuts_phq9.png"/>
                    <pic:cNvPicPr/>
                  </pic:nvPicPr>
                  <pic:blipFill>
                    <a:blip r:embed="rId19"/>
                    <a:stretch>
                      <a:fillRect/>
                    </a:stretch>
                  </pic:blipFill>
                  <pic:spPr>
                    <a:xfrm>
                      <a:off x="0" y="0"/>
                      <a:ext cx="5760720" cy="1525652"/>
                    </a:xfrm>
                    <a:prstGeom prst="rect"/>
                  </pic:spPr>
                </pic:pic>
              </a:graphicData>
            </a:graphic>
          </wp:inline>
        </w:drawing>
      </w:r>
    </w:p>
    <w:p>
      <w:pPr>
        <w:jc w:val="center"/>
      </w:pPr>
      <w:r>
        <w:rPr>
          <w:i/>
          <w:sz w:val="19"/>
        </w:rPr>
        <w:t>Figure 11. PHQ-9 class proportions.</w:t>
      </w:r>
    </w:p>
    <w:p>
      <w:pPr>
        <w:jc w:val="center"/>
      </w:pPr>
      <w:r>
        <w:drawing>
          <wp:inline xmlns:a="http://schemas.openxmlformats.org/drawingml/2006/main" xmlns:pic="http://schemas.openxmlformats.org/drawingml/2006/picture">
            <wp:extent cx="5760720" cy="1525652"/>
            <wp:docPr id="12" name="Picture 12"/>
            <wp:cNvGraphicFramePr>
              <a:graphicFrameLocks noChangeAspect="1"/>
            </wp:cNvGraphicFramePr>
            <a:graphic>
              <a:graphicData uri="http://schemas.openxmlformats.org/drawingml/2006/picture">
                <pic:pic>
                  <pic:nvPicPr>
                    <pic:cNvPr id="0" name="donuts_epds.png"/>
                    <pic:cNvPicPr/>
                  </pic:nvPicPr>
                  <pic:blipFill>
                    <a:blip r:embed="rId20"/>
                    <a:stretch>
                      <a:fillRect/>
                    </a:stretch>
                  </pic:blipFill>
                  <pic:spPr>
                    <a:xfrm>
                      <a:off x="0" y="0"/>
                      <a:ext cx="5760720" cy="1525652"/>
                    </a:xfrm>
                    <a:prstGeom prst="rect"/>
                  </pic:spPr>
                </pic:pic>
              </a:graphicData>
            </a:graphic>
          </wp:inline>
        </w:drawing>
      </w:r>
    </w:p>
    <w:p>
      <w:pPr>
        <w:jc w:val="center"/>
      </w:pPr>
      <w:r>
        <w:rPr>
          <w:i/>
          <w:sz w:val="19"/>
        </w:rPr>
        <w:t>Figure 12. EPDS class proportions.</w:t>
      </w:r>
    </w:p>
    <w:p>
      <w:pPr>
        <w:pStyle w:val="Heading1"/>
      </w:pPr>
      <w:r>
        <w:t>10. Explainability — Why the Model Decides What It Decides</w:t>
      </w:r>
    </w:p>
    <w:p>
      <w:pPr>
        <w:jc w:val="center"/>
      </w:pPr>
      <w:r>
        <w:drawing>
          <wp:inline xmlns:a="http://schemas.openxmlformats.org/drawingml/2006/main" xmlns:pic="http://schemas.openxmlformats.org/drawingml/2006/picture">
            <wp:extent cx="5760720" cy="3330568"/>
            <wp:docPr id="13" name="Picture 13"/>
            <wp:cNvGraphicFramePr>
              <a:graphicFrameLocks noChangeAspect="1"/>
            </wp:cNvGraphicFramePr>
            <a:graphic>
              <a:graphicData uri="http://schemas.openxmlformats.org/drawingml/2006/picture">
                <pic:pic>
                  <pic:nvPicPr>
                    <pic:cNvPr id="0" name="feature_importance.png"/>
                    <pic:cNvPicPr/>
                  </pic:nvPicPr>
                  <pic:blipFill>
                    <a:blip r:embed="rId21"/>
                    <a:stretch>
                      <a:fillRect/>
                    </a:stretch>
                  </pic:blipFill>
                  <pic:spPr>
                    <a:xfrm>
                      <a:off x="0" y="0"/>
                      <a:ext cx="5760720" cy="3330568"/>
                    </a:xfrm>
                    <a:prstGeom prst="rect"/>
                  </pic:spPr>
                </pic:pic>
              </a:graphicData>
            </a:graphic>
          </wp:inline>
        </w:drawing>
      </w:r>
    </w:p>
    <w:p>
      <w:pPr>
        <w:jc w:val="center"/>
      </w:pPr>
      <w:r>
        <w:rPr>
          <w:i/>
          <w:sz w:val="19"/>
        </w:rPr>
        <w:t>Figure 13. Random Forest feature importance, score-free PHQ-9 setting.</w:t>
      </w:r>
    </w:p>
    <w:p>
      <w:pPr>
        <w:jc w:val="center"/>
      </w:pPr>
      <w:r>
        <w:drawing>
          <wp:inline xmlns:a="http://schemas.openxmlformats.org/drawingml/2006/main" xmlns:pic="http://schemas.openxmlformats.org/drawingml/2006/picture">
            <wp:extent cx="5760720" cy="4991124"/>
            <wp:docPr id="14" name="Picture 14"/>
            <wp:cNvGraphicFramePr>
              <a:graphicFrameLocks noChangeAspect="1"/>
            </wp:cNvGraphicFramePr>
            <a:graphic>
              <a:graphicData uri="http://schemas.openxmlformats.org/drawingml/2006/picture">
                <pic:pic>
                  <pic:nvPicPr>
                    <pic:cNvPr id="0" name="shap_summary.png"/>
                    <pic:cNvPicPr/>
                  </pic:nvPicPr>
                  <pic:blipFill>
                    <a:blip r:embed="rId22"/>
                    <a:stretch>
                      <a:fillRect/>
                    </a:stretch>
                  </pic:blipFill>
                  <pic:spPr>
                    <a:xfrm>
                      <a:off x="0" y="0"/>
                      <a:ext cx="5760720" cy="4991124"/>
                    </a:xfrm>
                    <a:prstGeom prst="rect"/>
                  </pic:spPr>
                </pic:pic>
              </a:graphicData>
            </a:graphic>
          </wp:inline>
        </w:drawing>
      </w:r>
    </w:p>
    <w:p>
      <w:pPr>
        <w:jc w:val="center"/>
      </w:pPr>
      <w:r>
        <w:rPr>
          <w:i/>
          <w:sz w:val="19"/>
        </w:rPr>
        <w:t>Figure 14. SHAP summary plot for multiclass PHQ-9 prediction.</w:t>
      </w:r>
    </w:p>
    <w:p>
      <w:r>
        <w:t>In the score-free setting, the strongest predictors of PHQ-9 severity are not demographic facts like age alone, but relational and postpartum-context variables: relationship with the newborn, relationship with husband, relationship between father and newborn, anger after the latest childbirth, relationship with the in-laws, age of newborn, occupation, received support, and experience of abuse. SHAP confirms that these same variables consistently push predictions toward higher or lower severity across many patients, and that the direction of the effect (helpful vs. harmful) depends on the specific value each patient reports — this is what makes the model interpretable rather than a black box.</w:t>
      </w:r>
    </w:p>
    <w:p>
      <w:pPr>
        <w:pStyle w:val="Heading1"/>
      </w:pPr>
      <w:r>
        <w:t>11. Plain-English Glossary</w:t>
      </w:r>
    </w:p>
    <w:tbl>
      <w:tblPr>
        <w:tblStyle w:val="LightGrid-Accent1"/>
        <w:tblW w:type="auto" w:w="0"/>
        <w:tblLook w:firstColumn="1" w:firstRow="1" w:lastColumn="0" w:lastRow="0" w:noHBand="0" w:noVBand="1" w:val="04A0"/>
      </w:tblPr>
      <w:tblGrid>
        <w:gridCol w:w="4968"/>
        <w:gridCol w:w="4968"/>
      </w:tblGrid>
      <w:tr>
        <w:tc>
          <w:tcPr>
            <w:tcW w:type="dxa" w:w="4968"/>
          </w:tcPr>
          <w:p>
            <w:r>
              <w:rPr>
                <w:b/>
              </w:rPr>
              <w:t>Term</w:t>
            </w:r>
          </w:p>
        </w:tc>
        <w:tc>
          <w:tcPr>
            <w:tcW w:type="dxa" w:w="4968"/>
          </w:tcPr>
          <w:p>
            <w:r>
              <w:rPr>
                <w:b/>
              </w:rPr>
              <w:t>Plain explanation</w:t>
            </w:r>
          </w:p>
        </w:tc>
      </w:tr>
      <w:tr>
        <w:tc>
          <w:tcPr>
            <w:tcW w:type="dxa" w:w="4968"/>
          </w:tcPr>
          <w:p>
            <w:r>
              <w:t>1D-CNN</w:t>
            </w:r>
          </w:p>
        </w:tc>
        <w:tc>
          <w:tcPr>
            <w:tcW w:type="dxa" w:w="4968"/>
          </w:tcPr>
          <w:p>
            <w:r>
              <w:t>A neural network that slides small filters across a sequence of numbers to find local patterns, the way a 2D-CNN slides filters across an image.</w:t>
            </w:r>
          </w:p>
        </w:tc>
      </w:tr>
      <w:tr>
        <w:tc>
          <w:tcPr>
            <w:tcW w:type="dxa" w:w="4968"/>
          </w:tcPr>
          <w:p>
            <w:r>
              <w:t>BatchNorm1d</w:t>
            </w:r>
          </w:p>
        </w:tc>
        <w:tc>
          <w:tcPr>
            <w:tcW w:type="dxa" w:w="4968"/>
          </w:tcPr>
          <w:p>
            <w:r>
              <w:t>Rescales the values flowing through a layer so they have a consistent mean/spread, which speeds up and stabilizes training.</w:t>
            </w:r>
          </w:p>
        </w:tc>
      </w:tr>
      <w:tr>
        <w:tc>
          <w:tcPr>
            <w:tcW w:type="dxa" w:w="4968"/>
          </w:tcPr>
          <w:p>
            <w:r>
              <w:t>Dropout</w:t>
            </w:r>
          </w:p>
        </w:tc>
        <w:tc>
          <w:tcPr>
            <w:tcW w:type="dxa" w:w="4968"/>
          </w:tcPr>
          <w:p>
            <w:r>
              <w:t>Randomly switches off some neurons during training only, forcing the network not to over-rely on any single feature path; helps prevent overfitting.</w:t>
            </w:r>
          </w:p>
        </w:tc>
      </w:tr>
      <w:tr>
        <w:tc>
          <w:tcPr>
            <w:tcW w:type="dxa" w:w="4968"/>
          </w:tcPr>
          <w:p>
            <w:r>
              <w:t>Squeeze-and-Excitation (SE) attention</w:t>
            </w:r>
          </w:p>
        </w:tc>
        <w:tc>
          <w:tcPr>
            <w:tcW w:type="dxa" w:w="4968"/>
          </w:tcPr>
          <w:p>
            <w:r>
              <w:t>A tiny side-network that looks at the overall pattern of channels and decides which ones to amplify or suppress for this specific input.</w:t>
            </w:r>
          </w:p>
        </w:tc>
      </w:tr>
      <w:tr>
        <w:tc>
          <w:tcPr>
            <w:tcW w:type="dxa" w:w="4968"/>
          </w:tcPr>
          <w:p>
            <w:r>
              <w:t>SMOTE</w:t>
            </w:r>
          </w:p>
        </w:tc>
        <w:tc>
          <w:tcPr>
            <w:tcW w:type="dxa" w:w="4968"/>
          </w:tcPr>
          <w:p>
            <w:r>
              <w:t>Synthetic Minority Over-sampling Technique — creates new, realistic synthetic examples of rare classes so the model sees them often enough to learn them.</w:t>
            </w:r>
          </w:p>
        </w:tc>
      </w:tr>
      <w:tr>
        <w:tc>
          <w:tcPr>
            <w:tcW w:type="dxa" w:w="4968"/>
          </w:tcPr>
          <w:p>
            <w:r>
              <w:t>RBF-SVM</w:t>
            </w:r>
          </w:p>
        </w:tc>
        <w:tc>
          <w:tcPr>
            <w:tcW w:type="dxa" w:w="4968"/>
          </w:tcPr>
          <w:p>
            <w:r>
              <w:t>A Support Vector Machine using a Radial-Basis-Function kernel, which can draw curved (non-linear) decision boundaries between classes.</w:t>
            </w:r>
          </w:p>
        </w:tc>
      </w:tr>
      <w:tr>
        <w:tc>
          <w:tcPr>
            <w:tcW w:type="dxa" w:w="4968"/>
          </w:tcPr>
          <w:p>
            <w:r>
              <w:t>Support vector</w:t>
            </w:r>
          </w:p>
        </w:tc>
        <w:tc>
          <w:tcPr>
            <w:tcW w:type="dxa" w:w="4968"/>
          </w:tcPr>
          <w:p>
            <w:r>
              <w:t>A training example that lies close enough to the decision boundary that it directly shapes where that boundary is drawn.</w:t>
            </w:r>
          </w:p>
        </w:tc>
      </w:tr>
      <w:tr>
        <w:tc>
          <w:tcPr>
            <w:tcW w:type="dxa" w:w="4968"/>
          </w:tcPr>
          <w:p>
            <w:r>
              <w:t>Weighted F1-score</w:t>
            </w:r>
          </w:p>
        </w:tc>
        <w:tc>
          <w:tcPr>
            <w:tcW w:type="dxa" w:w="4968"/>
          </w:tcPr>
          <w:p>
            <w:r>
              <w:t>A single accuracy-like score that balances precision and recall, weighted by how many examples each class actually has — fairer than raw accuracy on imbalanced data.</w:t>
            </w:r>
          </w:p>
        </w:tc>
      </w:tr>
      <w:tr>
        <w:tc>
          <w:tcPr>
            <w:tcW w:type="dxa" w:w="4968"/>
          </w:tcPr>
          <w:p>
            <w:r>
              <w:t>SHAP value</w:t>
            </w:r>
          </w:p>
        </w:tc>
        <w:tc>
          <w:tcPr>
            <w:tcW w:type="dxa" w:w="4968"/>
          </w:tcPr>
          <w:p>
            <w:r>
              <w:t>A number that explains how much one specific feature pushed one specific prediction up or down, based on game-theory principles.</w:t>
            </w:r>
          </w:p>
        </w:tc>
      </w:tr>
      <w:tr>
        <w:tc>
          <w:tcPr>
            <w:tcW w:type="dxa" w:w="4968"/>
          </w:tcPr>
          <w:p>
            <w:r>
              <w:t>Score-free</w:t>
            </w:r>
          </w:p>
        </w:tc>
        <w:tc>
          <w:tcPr>
            <w:tcW w:type="dxa" w:w="4968"/>
          </w:tcPr>
          <w:p>
            <w:r>
              <w:t>A design choice where the raw PHQ-9/EPDS numeric totals are deliberately excluded from the model's inputs, forcing it to learn from life-context answers instead of the questionnaire arithmetic.</w:t>
            </w:r>
          </w:p>
        </w:tc>
      </w:tr>
      <w:tr>
        <w:tc>
          <w:tcPr>
            <w:tcW w:type="dxa" w:w="4968"/>
          </w:tcPr>
          <w:p>
            <w:r>
              <w:t>Task-adaptive</w:t>
            </w:r>
          </w:p>
        </w:tc>
        <w:tc>
          <w:tcPr>
            <w:tcW w:type="dxa" w:w="4968"/>
          </w:tcPr>
          <w:p>
            <w:r>
              <w:t>The deployed model is chosen per prediction task (PHQ-9 vs. EPDS) based on which branch performs better on validation data, rather than being fixed in advance.</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