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A4A"/>
          <w:sz w:val="48"/>
        </w:rPr>
        <w:t>MatriWatch — Final-Round Presentation Speech</w:t>
      </w:r>
    </w:p>
    <w:p>
      <w:pPr>
        <w:jc w:val="center"/>
      </w:pPr>
      <w:r>
        <w:rPr>
          <w:i/>
          <w:color w:val="E87A2E"/>
          <w:sz w:val="26"/>
        </w:rPr>
        <w:t>Research Symposium 2.0 — National Abstract Competition, AUST IEOM Student Chapter</w:t>
      </w:r>
    </w:p>
    <w:p>
      <w:pPr>
        <w:jc w:val="center"/>
      </w:pPr>
      <w:r>
        <w:rPr>
          <w:sz w:val="21"/>
        </w:rPr>
        <w:t>Team MatriWatch: Arnob Aich Anurag, Shamiul Islam, Sadia Sultana</w:t>
      </w:r>
    </w:p>
    <w:p>
      <w:pPr>
        <w:jc w:val="center"/>
      </w:pPr>
      <w:r>
        <w:rPr>
          <w:sz w:val="21"/>
        </w:rPr>
        <w:t>Format: 5-minute spoken presentation + judges' Q&amp;A</w:t>
      </w:r>
    </w:p>
    <w:p>
      <w:pPr>
        <w:jc w:val="center"/>
      </w:pPr>
      <w:r>
        <w:rPr>
          <w:sz w:val="21"/>
        </w:rPr>
        <w:t>Judging criteria: Clarity &amp; Organization, Research Quality &amp; Innovation, Visual Appeal, Presentation Skills, Industry Relevance</w:t>
      </w:r>
    </w:p>
    <w:p/>
    <w:p>
      <w:r>
        <w:br w:type="page"/>
      </w:r>
    </w:p>
    <w:p>
      <w:pPr>
        <w:pStyle w:val="Heading1"/>
      </w:pPr>
      <w:r>
        <w:t>How to Use This Script</w:t>
      </w:r>
    </w:p>
    <w:p>
      <w:r>
        <w:t>This speech is written to fit a strict 5-minute on-site poster presentation, followed by a judges' Q&amp;A. It follows the exact section order suggested in the competition rulebook (Title, Literature Review, Research Objective, Research Gap, Methodology, Graph/Figure, Conclusion), and explicitly speaks to the rulebook's guidelines: clear objectives, SDG relevance, innovation, visual aids, logical flow, sound methodology, and clearly presented findings. Read it at a natural, confident pace — roughly 140–150 words per minute. Practice with a timer; if you are running long, trim the italicized 'optional detail' lines first.</w:t>
      </w:r>
    </w:p>
    <w:p>
      <w:pPr>
        <w:pStyle w:val="Heading1"/>
      </w:pPr>
      <w:r>
        <w:t>Timing Plan (5 minutes total)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Target time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Poster section it maps to</w:t>
            </w:r>
          </w:p>
        </w:tc>
      </w:tr>
      <w:tr>
        <w:tc>
          <w:tcPr>
            <w:tcW w:type="dxa" w:w="3216"/>
          </w:tcPr>
          <w:p>
            <w:r>
              <w:t>Hook + introduction</w:t>
            </w:r>
          </w:p>
        </w:tc>
        <w:tc>
          <w:tcPr>
            <w:tcW w:type="dxa" w:w="3216"/>
          </w:tcPr>
          <w:p>
            <w:r>
              <w:t>0:00 – 0:30</w:t>
            </w:r>
          </w:p>
        </w:tc>
        <w:tc>
          <w:tcPr>
            <w:tcW w:type="dxa" w:w="3216"/>
          </w:tcPr>
          <w:p>
            <w:r>
              <w:t>Title</w:t>
            </w:r>
          </w:p>
        </w:tc>
      </w:tr>
      <w:tr>
        <w:tc>
          <w:tcPr>
            <w:tcW w:type="dxa" w:w="3216"/>
          </w:tcPr>
          <w:p>
            <w:r>
              <w:t>Problem &amp; literature gap</w:t>
            </w:r>
          </w:p>
        </w:tc>
        <w:tc>
          <w:tcPr>
            <w:tcW w:type="dxa" w:w="3216"/>
          </w:tcPr>
          <w:p>
            <w:r>
              <w:t>0:30 – 1:15</w:t>
            </w:r>
          </w:p>
        </w:tc>
        <w:tc>
          <w:tcPr>
            <w:tcW w:type="dxa" w:w="3216"/>
          </w:tcPr>
          <w:p>
            <w:r>
              <w:t>Literature Review + Research Gap</w:t>
            </w:r>
          </w:p>
        </w:tc>
      </w:tr>
      <w:tr>
        <w:tc>
          <w:tcPr>
            <w:tcW w:type="dxa" w:w="3216"/>
          </w:tcPr>
          <w:p>
            <w:r>
              <w:t>Research objective</w:t>
            </w:r>
          </w:p>
        </w:tc>
        <w:tc>
          <w:tcPr>
            <w:tcW w:type="dxa" w:w="3216"/>
          </w:tcPr>
          <w:p>
            <w:r>
              <w:t>1:15 – 1:45</w:t>
            </w:r>
          </w:p>
        </w:tc>
        <w:tc>
          <w:tcPr>
            <w:tcW w:type="dxa" w:w="3216"/>
          </w:tcPr>
          <w:p>
            <w:r>
              <w:t>Research Objective</w:t>
            </w:r>
          </w:p>
        </w:tc>
      </w:tr>
      <w:tr>
        <w:tc>
          <w:tcPr>
            <w:tcW w:type="dxa" w:w="3216"/>
          </w:tcPr>
          <w:p>
            <w:r>
              <w:t>Methodology walk-through</w:t>
            </w:r>
          </w:p>
        </w:tc>
        <w:tc>
          <w:tcPr>
            <w:tcW w:type="dxa" w:w="3216"/>
          </w:tcPr>
          <w:p>
            <w:r>
              <w:t>1:45 – 3:15</w:t>
            </w:r>
          </w:p>
        </w:tc>
        <w:tc>
          <w:tcPr>
            <w:tcW w:type="dxa" w:w="3216"/>
          </w:tcPr>
          <w:p>
            <w:r>
              <w:t>Methodology</w:t>
            </w:r>
          </w:p>
        </w:tc>
      </w:tr>
      <w:tr>
        <w:tc>
          <w:tcPr>
            <w:tcW w:type="dxa" w:w="3216"/>
          </w:tcPr>
          <w:p>
            <w:r>
              <w:t>Results &amp; figures</w:t>
            </w:r>
          </w:p>
        </w:tc>
        <w:tc>
          <w:tcPr>
            <w:tcW w:type="dxa" w:w="3216"/>
          </w:tcPr>
          <w:p>
            <w:r>
              <w:t>3:15 – 4:15</w:t>
            </w:r>
          </w:p>
        </w:tc>
        <w:tc>
          <w:tcPr>
            <w:tcW w:type="dxa" w:w="3216"/>
          </w:tcPr>
          <w:p>
            <w:r>
              <w:t>Graph/Figure</w:t>
            </w:r>
          </w:p>
        </w:tc>
      </w:tr>
      <w:tr>
        <w:tc>
          <w:tcPr>
            <w:tcW w:type="dxa" w:w="3216"/>
          </w:tcPr>
          <w:p>
            <w:r>
              <w:t>Conclusion &amp; impact</w:t>
            </w:r>
          </w:p>
        </w:tc>
        <w:tc>
          <w:tcPr>
            <w:tcW w:type="dxa" w:w="3216"/>
          </w:tcPr>
          <w:p>
            <w:r>
              <w:t>4:15 – 4:50</w:t>
            </w:r>
          </w:p>
        </w:tc>
        <w:tc>
          <w:tcPr>
            <w:tcW w:type="dxa" w:w="3216"/>
          </w:tcPr>
          <w:p>
            <w:r>
              <w:t>Conclusion</w:t>
            </w:r>
          </w:p>
        </w:tc>
      </w:tr>
      <w:tr>
        <w:tc>
          <w:tcPr>
            <w:tcW w:type="dxa" w:w="3216"/>
          </w:tcPr>
          <w:p>
            <w:r>
              <w:t>Closing line + invite questions</w:t>
            </w:r>
          </w:p>
        </w:tc>
        <w:tc>
          <w:tcPr>
            <w:tcW w:type="dxa" w:w="3216"/>
          </w:tcPr>
          <w:p>
            <w:r>
              <w:t>4:50 – 5:00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</w:tbl>
    <w:p/>
    <w:p>
      <w:pPr>
        <w:pStyle w:val="Heading1"/>
      </w:pPr>
      <w:r>
        <w:t>Full Speech Script</w:t>
      </w:r>
    </w:p>
    <w:p>
      <w:pPr>
        <w:pStyle w:val="Heading2"/>
      </w:pPr>
      <w:r>
        <w:t>1. Hook and Introduction (≈30 seconds)</w:t>
      </w:r>
    </w:p>
    <w:p>
      <w:r>
        <w:t>“Good [morning/afternoon], judges. My name is [speaker name], and on behalf of Team MatriWatch — myself, Arnob Aich Anurag, and Sadia Sultana — I'm presenting MatriWatch: Smart Maternal Health Monitoring Software for Mothers, with a specific focus today on our postpartum depression screening model.”</w:t>
      </w:r>
    </w:p>
    <w:p>
      <w:r>
        <w:t>“Every year, thousands of new mothers in Bangladesh experience postpartum depression that goes undetected — not because we lack tools like the PHQ-9 and EPDS questionnaires, but because we lack fast, data-driven ways to act on them in low-resource clinical settings. That's the gap we built MatriWatch to close.”</w:t>
      </w:r>
    </w:p>
    <w:p>
      <w:pPr>
        <w:pStyle w:val="Heading2"/>
      </w:pPr>
      <w:r>
        <w:t>2. Literature Review and Research Gap (≈45 seconds)</w:t>
      </w:r>
    </w:p>
    <w:p>
      <w:r>
        <w:t>“Postpartum depression affects not just mothers, but infant development and entire family well-being. The PHQ-9 and EPDS are the two most trusted screening instruments worldwide, and machine learning has been shown to make screening faster and more data-driven. But here's the gap: almost all existing studies either do simple binary detection — depressed or not — or they just re-predict the raw questionnaire score. Very little prior work attempts fine-grained, multi-class severity prediction for both PHQ-9 and EPDS together, on a Bangladesh-specific cohort, using explainable machine learning. That's exactly the gap MatriWatch is built to fill.”</w:t>
      </w:r>
    </w:p>
    <w:p>
      <w:pPr>
        <w:pStyle w:val="Heading2"/>
      </w:pPr>
      <w:r>
        <w:t>3. Research Objective (≈30 seconds)</w:t>
      </w:r>
    </w:p>
    <w:p>
      <w:r>
        <w:t>“Our objective was fivefold: build a Bangladesh-focused postpartum depression screening model; predict PHQ-9 severity across six fine-grained classes and EPDS risk across three levels; compare an attention-based 1D-CNN against a tuned RBF-SVM; properly handle missing data and class imbalance; and finally, explain every prediction using SHAP and feature importance — because a screening tool that clinicians can't trust or understand is a screening tool they won't use.”</w:t>
      </w:r>
    </w:p>
    <w:p>
      <w:pPr>
        <w:pStyle w:val="Heading2"/>
      </w:pPr>
      <w:r>
        <w:t>4. Methodology (≈90 seconds)</w:t>
      </w:r>
    </w:p>
    <w:p>
      <w:r>
        <w:t>“We worked with a dataset of 800 postpartum women in Bangladesh, answering 46 structured questions spanning demographics, relationships, support systems, obstetric history, and the newborn's condition. Critically, we made our model score-free — we deliberately removed the raw PHQ-9 and EPDS numeric totals from the input features, so the model has to learn from real life circumstances, not from questionnaire arithmetic.”</w:t>
      </w:r>
    </w:p>
    <w:p>
      <w:r>
        <w:t>“After cleaning, mode-imputing missing values, encoding categorical answers, and standardizing everything numerically, we balanced the training data with SMOTE and split it 70-15-15 into train, validation, and test sets.”</w:t>
      </w:r>
    </w:p>
    <w:p>
      <w:r>
        <w:t>“We then trained two competing branches in parallel. The first is an attention-based 1D-CNN: three convolution blocks that scan across the 46 features, followed by a squeeze-and-excitation attention gate that learns which feature channels matter most for each patient, and a four-layer fully-connected classifier head. The second branch is a tuned RBF Support Vector Machine. Our key methodological contribution is what we call task-adaptive selection: for each target — PHQ-9 and EPDS separately — we keep whichever branch scores higher on validation weighted F1. The model architecture isn't fixed in advance; it's chosen by evidence, per task.”</w:t>
      </w:r>
    </w:p>
    <w:p>
      <w:r>
        <w:t>*[Optional detail if time allows]: “Our final attention-CNN branch has roughly 131,000 trainable parameters per task, three convolution blocks growing from 32 to 64 to 128 channels, and the SVM branches use a tuned RBF kernel with hyperparameters re-optimized separately for PHQ-9 and EPDS.”*</w:t>
      </w:r>
    </w:p>
    <w:p>
      <w:pPr>
        <w:pStyle w:val="Heading2"/>
      </w:pPr>
      <w:r>
        <w:t>5. Results and Figures (≈60 seconds)</w:t>
      </w:r>
    </w:p>
    <w:p>
      <w:r>
        <w:t>“On the held-out test set, our final score-free model reached 80.4% accuracy and 81.6% weighted F1 on the six-class PHQ-9 task, and 82.9% accuracy and 83.0% weighted F1 on the three-class EPDS task — both substantially ahead of classical baselines like logistic regression, random forest, and gradient boosting evaluated under the exact same score-free conditions. Our confusion matrices show a strongly diagonal pattern: when the model is wrong, it's almost always confusing clinically adjacent severity levels — like Moderate versus Moderately Severe — never collapsing into a single majority guess.”</w:t>
      </w:r>
    </w:p>
    <w:p>
      <w:r>
        <w:t>“And because explainability mattered to us as much as accuracy, our SHAP analysis shows the model's top drivers are exactly the variables a clinician would expect to matter: relationship with the newborn, relationship with the husband, anger after childbirth, relationship with the in-laws, and experience of abuse. This isn't a black box — it's a model that reasons the way a clinician reasons.”</w:t>
      </w:r>
    </w:p>
    <w:p>
      <w:pPr>
        <w:pStyle w:val="Heading2"/>
      </w:pPr>
      <w:r>
        <w:t>6. Conclusion and Real-World Relevance (≈35 seconds)</w:t>
      </w:r>
    </w:p>
    <w:p>
      <w:r>
        <w:t>“In conclusion, MatriWatch shows that a score-free, task-adaptive hybrid model can deliver strong, interpretable, fine-grained postpartum depression screening — directly aligned with UN Sustainable Development Goal 3, Good Health and Well-Being, and Goal 5, Gender Equality, by giving low-resource maternal healthcare settings in Bangladesh a faster, explainable way to flag at-risk mothers before a crisis, not after one.”</w:t>
      </w:r>
    </w:p>
    <w:p>
      <w:pPr>
        <w:pStyle w:val="Heading2"/>
      </w:pPr>
      <w:r>
        <w:t>7. Closing Line (≈10 seconds)</w:t>
      </w:r>
    </w:p>
    <w:p>
      <w:r>
        <w:t>“That's MatriWatch — turning a 46-question conversation into an early, explainable warning system for the mothers who need it most. Thank you — we'd love to take your questions.”</w:t>
      </w:r>
    </w:p>
    <w:p>
      <w:pPr>
        <w:pStyle w:val="Heading1"/>
      </w:pPr>
      <w:r>
        <w:t>Anticipated Judge Questions and Suggested Answers</w:t>
      </w:r>
    </w:p>
    <w:p>
      <w:r>
        <w:rPr>
          <w:b/>
        </w:rPr>
        <w:t xml:space="preserve">Q: </w:t>
      </w:r>
      <w:r>
        <w:t>Why remove the raw PHQ-9/EPDS score from the inputs — doesn't that throw away useful signal?</w:t>
      </w:r>
    </w:p>
    <w:p>
      <w:r>
        <w:rPr>
          <w:b/>
        </w:rPr>
        <w:t xml:space="preserve">A: </w:t>
      </w:r>
      <w:r>
        <w:t>Because using the raw score as an input would let the model 'cheat' by just re-deriving the label from the score's own arithmetic — that's the binary/score-shortcut problem prior work falls into. Removing it forces the model to learn from the actual life-context variables, which is far more useful for screening someone who hasn't taken the questionnaire yet, or for explaining *why* a mother is at risk, not just *that* she scored a certain number.</w:t>
      </w:r>
    </w:p>
    <w:p/>
    <w:p>
      <w:r>
        <w:rPr>
          <w:b/>
        </w:rPr>
        <w:t xml:space="preserve">Q: </w:t>
      </w:r>
      <w:r>
        <w:t>Why two different model families (CNN and SVM) instead of one?</w:t>
      </w:r>
    </w:p>
    <w:p>
      <w:r>
        <w:rPr>
          <w:b/>
        </w:rPr>
        <w:t xml:space="preserve">A: </w:t>
      </w:r>
      <w:r>
        <w:t>Because with about 800 rows, a deep CNN and a classical SVM have different bias-variance trade-offs, and neither one dominates on every task. Our task-adaptive selector lets the evidence — validation weighted F1 — decide per task, instead of us assuming one architecture is always best.</w:t>
      </w:r>
    </w:p>
    <w:p/>
    <w:p>
      <w:r>
        <w:rPr>
          <w:b/>
        </w:rPr>
        <w:t xml:space="preserve">Q: </w:t>
      </w:r>
      <w:r>
        <w:t>How do you handle class imbalance?</w:t>
      </w:r>
    </w:p>
    <w:p>
      <w:r>
        <w:rPr>
          <w:b/>
        </w:rPr>
        <w:t xml:space="preserve">A: </w:t>
      </w:r>
      <w:r>
        <w:t>SMOTE oversampling on the training split only, combined with stratified splitting so validation and test sets keep real-world class proportions, and weighted F1 as our primary evaluation metric instead of raw accuracy.</w:t>
      </w:r>
    </w:p>
    <w:p/>
    <w:p>
      <w:r>
        <w:rPr>
          <w:b/>
        </w:rPr>
        <w:t xml:space="preserve">Q: </w:t>
      </w:r>
      <w:r>
        <w:t>Is this clinically validated / ready for deployment?</w:t>
      </w:r>
    </w:p>
    <w:p>
      <w:r>
        <w:rPr>
          <w:b/>
        </w:rPr>
        <w:t xml:space="preserve">A: </w:t>
      </w:r>
      <w:r>
        <w:t>This is a research prototype validated on a held-out test split from our own collected cohort. The next step toward deployment is a small prospective clinical validation study and Bangla-language localization, paired with the rule-based safety thresholds already built into the broader MatriWatch platform as a fallback.</w:t>
      </w:r>
    </w:p>
    <w:p/>
    <w:p>
      <w:r>
        <w:rPr>
          <w:b/>
        </w:rPr>
        <w:t xml:space="preserve">Q: </w:t>
      </w:r>
      <w:r>
        <w:t>What is the biggest limitation of this work?</w:t>
      </w:r>
    </w:p>
    <w:p>
      <w:r>
        <w:rPr>
          <w:b/>
        </w:rPr>
        <w:t xml:space="preserve">A: </w:t>
      </w:r>
      <w:r>
        <w:t>Sample size — 800 respondents is workable for this kind of structured-survey classification, but a larger, multi-site Bangladesh cohort would let us validate the fine-grained 6-class PHQ-9 boundaries with more statistical confidence, especially for the rarer severity classes.</w:t>
      </w:r>
    </w:p>
    <w:p/>
    <w:p>
      <w:pPr>
        <w:pStyle w:val="Heading1"/>
      </w:pPr>
      <w:r>
        <w:t>Delivery Tips Aligned to the Judging Criteria</w:t>
      </w:r>
    </w:p>
    <w:p>
      <w:pPr>
        <w:pStyle w:val="ListBullet"/>
      </w:pPr>
      <w:r>
        <w:t>Clarity &amp; Organization: follow the script's section order exactly — it mirrors the poster's own panel layout, so judges can follow your speech while glancing at the poster.</w:t>
      </w:r>
    </w:p>
    <w:p>
      <w:pPr>
        <w:pStyle w:val="ListBullet"/>
      </w:pPr>
      <w:r>
        <w:t>Research Quality &amp; Innovation: emphasize the score-free design and the task-adaptive selector by name — these are your two most defensible, original contributions.</w:t>
      </w:r>
    </w:p>
    <w:p>
      <w:pPr>
        <w:pStyle w:val="ListBullet"/>
      </w:pPr>
      <w:r>
        <w:t>Visual Appeal: physically point at the relevant poster panel (confusion matrix, SHAP plot, pipeline diagram) at the moment you mention it in the script.</w:t>
      </w:r>
    </w:p>
    <w:p>
      <w:pPr>
        <w:pStyle w:val="ListBullet"/>
      </w:pPr>
      <w:r>
        <w:t>Presentation Skills: practice against a 5-minute timer at least three times; pause briefly after each section heading rather than rushing through transitions.</w:t>
      </w:r>
    </w:p>
    <w:p>
      <w:pPr>
        <w:pStyle w:val="ListBullet"/>
      </w:pPr>
      <w:r>
        <w:t>Industry Relevance: close with the SDG 3 / SDG 5 framing and the low-resource Bangladesh deployment angle — judges are explicitly told to weigh real-world relevance.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