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PlasmaXAI Ultra-Detailed Research, Architecture, and Equation Compendium</w:t>
      </w:r>
    </w:p>
    <w:p>
      <w:pPr>
        <w:jc w:val="center"/>
      </w:pPr>
      <w:r>
        <w:rPr>
          <w:i/>
          <w:sz w:val="22"/>
        </w:rPr>
        <w:t>Thesis-style technical record covering background, methodology, layer connectivity, equations, figures, and deployment translation</w:t>
      </w:r>
    </w:p>
    <w:p>
      <w:pPr>
        <w:spacing w:after="140"/>
      </w:pPr>
      <w:r>
        <w:rPr>
          <w:b w:val="0"/>
        </w:rPr>
        <w:t>This document is designed as the deepest single-file technical reference for the PlasmaXAI project. It consolidates the long-form research record, the layer-by-layer novel architecture, the mathematics of the morphology and counterfactual branches, the benchmark and ablation tables, and a figure atlas tied to the saved research outputs.</w:t>
      </w:r>
    </w:p>
    <w:p>
      <w:pPr>
        <w:pStyle w:val="Heading1"/>
      </w:pPr>
      <w:r>
        <w:t>A. Executive Technical Snapshot</w:t>
      </w:r>
    </w:p>
    <w:tbl>
      <w:tblPr>
        <w:tblStyle w:val="TableGrid"/>
        <w:tblW w:type="auto" w:w="0"/>
        <w:jc w:val="center"/>
        <w:tblLook w:firstColumn="1" w:firstRow="1" w:lastColumn="0" w:lastRow="0" w:noHBand="0" w:noVBand="1" w:val="04A0"/>
      </w:tblPr>
      <w:tblGrid>
        <w:gridCol w:w="5112"/>
        <w:gridCol w:w="5112"/>
      </w:tblGrid>
      <w:tr>
        <w:tc>
          <w:tcPr>
            <w:tcW w:type="dxa" w:w="5112"/>
            <w:shd w:fill="1F2937"/>
          </w:tcPr>
          <w:p>
            <w:r>
              <w:rPr>
                <w:b/>
              </w:rPr>
              <w:t>Item</w:t>
            </w:r>
          </w:p>
        </w:tc>
        <w:tc>
          <w:tcPr>
            <w:tcW w:type="dxa" w:w="5112"/>
            <w:shd w:fill="1F2937"/>
          </w:tcPr>
          <w:p>
            <w:r>
              <w:rPr>
                <w:b/>
              </w:rPr>
              <w:t>Value</w:t>
            </w:r>
          </w:p>
        </w:tc>
      </w:tr>
      <w:tr>
        <w:tc>
          <w:tcPr>
            <w:tcW w:type="dxa" w:w="5112"/>
          </w:tcPr>
          <w:p>
            <w:r>
              <w:t>Primary problem</w:t>
            </w:r>
          </w:p>
        </w:tc>
        <w:tc>
          <w:tcPr>
            <w:tcW w:type="dxa" w:w="5112"/>
          </w:tcPr>
          <w:p>
            <w:r>
              <w:t>Malignant plasma-cell recognition from microscopy images</w:t>
            </w:r>
          </w:p>
        </w:tc>
      </w:tr>
      <w:tr>
        <w:tc>
          <w:tcPr>
            <w:tcW w:type="dxa" w:w="5112"/>
          </w:tcPr>
          <w:p>
            <w:r>
              <w:t>Final framework</w:t>
            </w:r>
          </w:p>
        </w:tc>
        <w:tc>
          <w:tcPr>
            <w:tcW w:type="dxa" w:w="5112"/>
          </w:tcPr>
          <w:p>
            <w:r>
              <w:t>CounterfactualGuidedFusionNet / PlasmaXAI</w:t>
            </w:r>
          </w:p>
        </w:tc>
      </w:tr>
      <w:tr>
        <w:tc>
          <w:tcPr>
            <w:tcW w:type="dxa" w:w="5112"/>
          </w:tcPr>
          <w:p>
            <w:r>
              <w:t>ResNet embedding dimension</w:t>
            </w:r>
          </w:p>
        </w:tc>
        <w:tc>
          <w:tcPr>
            <w:tcW w:type="dxa" w:w="5112"/>
          </w:tcPr>
          <w:p>
            <w:r>
              <w:t>2048</w:t>
            </w:r>
          </w:p>
        </w:tc>
      </w:tr>
      <w:tr>
        <w:tc>
          <w:tcPr>
            <w:tcW w:type="dxa" w:w="5112"/>
          </w:tcPr>
          <w:p>
            <w:r>
              <w:t>DenseNet embedding dimension</w:t>
            </w:r>
          </w:p>
        </w:tc>
        <w:tc>
          <w:tcPr>
            <w:tcW w:type="dxa" w:w="5112"/>
          </w:tcPr>
          <w:p>
            <w:r>
              <w:t>1024</w:t>
            </w:r>
          </w:p>
        </w:tc>
      </w:tr>
      <w:tr>
        <w:tc>
          <w:tcPr>
            <w:tcW w:type="dxa" w:w="5112"/>
          </w:tcPr>
          <w:p>
            <w:r>
              <w:t>Morphology feature dimension</w:t>
            </w:r>
          </w:p>
        </w:tc>
        <w:tc>
          <w:tcPr>
            <w:tcW w:type="dxa" w:w="5112"/>
          </w:tcPr>
          <w:p>
            <w:r>
              <w:t>10</w:t>
            </w:r>
          </w:p>
        </w:tc>
      </w:tr>
      <w:tr>
        <w:tc>
          <w:tcPr>
            <w:tcW w:type="dxa" w:w="5112"/>
          </w:tcPr>
          <w:p>
            <w:r>
              <w:t>Counterfactual feature dimension</w:t>
            </w:r>
          </w:p>
        </w:tc>
        <w:tc>
          <w:tcPr>
            <w:tcW w:type="dxa" w:w="5112"/>
          </w:tcPr>
          <w:p>
            <w:r>
              <w:t>24</w:t>
            </w:r>
          </w:p>
        </w:tc>
      </w:tr>
      <w:tr>
        <w:tc>
          <w:tcPr>
            <w:tcW w:type="dxa" w:w="5112"/>
          </w:tcPr>
          <w:p>
            <w:r>
              <w:t>Score block dimension</w:t>
            </w:r>
          </w:p>
        </w:tc>
        <w:tc>
          <w:tcPr>
            <w:tcW w:type="dxa" w:w="5112"/>
          </w:tcPr>
          <w:p>
            <w:r>
              <w:t>3</w:t>
            </w:r>
          </w:p>
        </w:tc>
      </w:tr>
      <w:tr>
        <w:tc>
          <w:tcPr>
            <w:tcW w:type="dxa" w:w="5112"/>
          </w:tcPr>
          <w:p>
            <w:r>
              <w:t>Hidden dimension</w:t>
            </w:r>
          </w:p>
        </w:tc>
        <w:tc>
          <w:tcPr>
            <w:tcW w:type="dxa" w:w="5112"/>
          </w:tcPr>
          <w:p>
            <w:r>
              <w:t>256</w:t>
            </w:r>
          </w:p>
        </w:tc>
      </w:tr>
      <w:tr>
        <w:tc>
          <w:tcPr>
            <w:tcW w:type="dxa" w:w="5112"/>
          </w:tcPr>
          <w:p>
            <w:r>
              <w:t>Tabular dimension</w:t>
            </w:r>
          </w:p>
        </w:tc>
        <w:tc>
          <w:tcPr>
            <w:tcW w:type="dxa" w:w="5112"/>
          </w:tcPr>
          <w:p>
            <w:r>
              <w:t>128</w:t>
            </w:r>
          </w:p>
        </w:tc>
      </w:tr>
      <w:tr>
        <w:tc>
          <w:tcPr>
            <w:tcW w:type="dxa" w:w="5112"/>
          </w:tcPr>
          <w:p>
            <w:r>
              <w:t>Dropout</w:t>
            </w:r>
          </w:p>
        </w:tc>
        <w:tc>
          <w:tcPr>
            <w:tcW w:type="dxa" w:w="5112"/>
          </w:tcPr>
          <w:p>
            <w:r>
              <w:t>0.25</w:t>
            </w:r>
          </w:p>
        </w:tc>
      </w:tr>
      <w:tr>
        <w:tc>
          <w:tcPr>
            <w:tcW w:type="dxa" w:w="5112"/>
          </w:tcPr>
          <w:p>
            <w:r>
              <w:t>Main novel run accuracy</w:t>
            </w:r>
          </w:p>
        </w:tc>
        <w:tc>
          <w:tcPr>
            <w:tcW w:type="dxa" w:w="5112"/>
          </w:tcPr>
          <w:p>
            <w:r>
              <w:t>93.23%</w:t>
            </w:r>
          </w:p>
        </w:tc>
      </w:tr>
      <w:tr>
        <w:tc>
          <w:tcPr>
            <w:tcW w:type="dxa" w:w="5112"/>
          </w:tcPr>
          <w:p>
            <w:r>
              <w:t>Main novel run plasma recall</w:t>
            </w:r>
          </w:p>
        </w:tc>
        <w:tc>
          <w:tcPr>
            <w:tcW w:type="dxa" w:w="5112"/>
          </w:tcPr>
          <w:p>
            <w:r>
              <w:t>93.39%</w:t>
            </w:r>
          </w:p>
        </w:tc>
      </w:tr>
      <w:tr>
        <w:tc>
          <w:tcPr>
            <w:tcW w:type="dxa" w:w="5112"/>
          </w:tcPr>
          <w:p>
            <w:r>
              <w:t>Deployment comparison accuracy</w:t>
            </w:r>
          </w:p>
        </w:tc>
        <w:tc>
          <w:tcPr>
            <w:tcW w:type="dxa" w:w="5112"/>
          </w:tcPr>
          <w:p>
            <w:r>
              <w:t>93.42%</w:t>
            </w:r>
          </w:p>
        </w:tc>
      </w:tr>
      <w:tr>
        <w:tc>
          <w:tcPr>
            <w:tcW w:type="dxa" w:w="5112"/>
          </w:tcPr>
          <w:p>
            <w:r>
              <w:t>Deployment comparison AUC</w:t>
            </w:r>
          </w:p>
        </w:tc>
        <w:tc>
          <w:tcPr>
            <w:tcW w:type="dxa" w:w="5112"/>
          </w:tcPr>
          <w:p>
            <w:r>
              <w:t>97.76%</w:t>
            </w:r>
          </w:p>
        </w:tc>
      </w:tr>
      <w:tr>
        <w:tc>
          <w:tcPr>
            <w:tcW w:type="dxa" w:w="5112"/>
          </w:tcPr>
          <w:p>
            <w:r>
              <w:t>Bootstrap accuracy mean</w:t>
            </w:r>
          </w:p>
        </w:tc>
        <w:tc>
          <w:tcPr>
            <w:tcW w:type="dxa" w:w="5112"/>
          </w:tcPr>
          <w:p>
            <w:r>
              <w:t>93.25%</w:t>
            </w:r>
          </w:p>
        </w:tc>
      </w:tr>
      <w:tr>
        <w:tc>
          <w:tcPr>
            <w:tcW w:type="dxa" w:w="5112"/>
          </w:tcPr>
          <w:p>
            <w:r>
              <w:t>Bootstrap AUC mean</w:t>
            </w:r>
          </w:p>
        </w:tc>
        <w:tc>
          <w:tcPr>
            <w:tcW w:type="dxa" w:w="5112"/>
          </w:tcPr>
          <w:p>
            <w:r>
              <w:t>97.77%</w:t>
            </w:r>
          </w:p>
        </w:tc>
      </w:tr>
    </w:tbl>
    <w:p>
      <w:pPr>
        <w:pStyle w:val="Heading1"/>
      </w:pPr>
      <w:r>
        <w:t>B. Formal Mathematical Formulation</w:t>
      </w:r>
    </w:p>
    <w:p>
      <w:pPr>
        <w:spacing w:after="140"/>
      </w:pPr>
      <w:r>
        <w:rPr>
          <w:b w:val="0"/>
        </w:rPr>
        <w:t>The following equations formalize the major blocks of the PlasmaXAI research pipeline: morphology extraction, counterfactual boundary modeling, multimodal fusion, classifier scoring, and patient-level aggregation.</w:t>
      </w:r>
    </w:p>
    <w:p>
      <w:pPr>
        <w:pStyle w:val="EquationBlock"/>
        <w:jc w:val="center"/>
      </w:pPr>
      <w:r>
        <w:t>(1) x_s = [ p_resnet , p_densenet , p_cf ]</w:t>
      </w:r>
    </w:p>
    <w:p>
      <w:pPr>
        <w:pStyle w:val="EquationBlock"/>
        <w:jc w:val="center"/>
      </w:pPr>
      <w:r>
        <w:t>(2) mu_R = (1 / |Omega|) * sum_{(u,v) in Omega} I_R(u,v)</w:t>
      </w:r>
    </w:p>
    <w:p>
      <w:pPr>
        <w:pStyle w:val="EquationBlock"/>
        <w:jc w:val="center"/>
      </w:pPr>
      <w:r>
        <w:t>(3) mu_G = (1 / |Omega|) * sum_{(u,v) in Omega} I_G(u,v)</w:t>
      </w:r>
    </w:p>
    <w:p>
      <w:pPr>
        <w:pStyle w:val="EquationBlock"/>
        <w:jc w:val="center"/>
      </w:pPr>
      <w:r>
        <w:t>(4) mu_B = (1 / |Omega|) * sum_{(u,v) in Omega} I_B(u,v)</w:t>
      </w:r>
    </w:p>
    <w:p>
      <w:pPr>
        <w:pStyle w:val="EquationBlock"/>
        <w:jc w:val="center"/>
      </w:pPr>
      <w:r>
        <w:t>(5) I_stain = 255 - (1 / |Omega|) * sum_{(u,v) in Omega} Gray(u,v)</w:t>
      </w:r>
    </w:p>
    <w:p>
      <w:pPr>
        <w:pStyle w:val="EquationBlock"/>
        <w:jc w:val="center"/>
      </w:pPr>
      <w:r>
        <w:t>(6) A_nuc = |Omega_nucleus|,   A_cell = |Omega_cell|,   A_cyto = max(A_cell - A_nuc, 0)</w:t>
      </w:r>
    </w:p>
    <w:p>
      <w:pPr>
        <w:pStyle w:val="EquationBlock"/>
        <w:jc w:val="center"/>
      </w:pPr>
      <w:r>
        <w:t>(7) r_NC = A_nuc / (A_cyto + eps)</w:t>
      </w:r>
    </w:p>
    <w:p>
      <w:pPr>
        <w:pStyle w:val="EquationBlock"/>
        <w:jc w:val="center"/>
      </w:pPr>
      <w:r>
        <w:t>(8) G_tex = std(Gray(Omega_cell))</w:t>
      </w:r>
    </w:p>
    <w:p>
      <w:pPr>
        <w:pStyle w:val="EquationBlock"/>
        <w:jc w:val="center"/>
      </w:pPr>
      <w:r>
        <w:t>(9) R_shape = 4 * pi * A_cell / (P_cell^2 + eps)</w:t>
      </w:r>
    </w:p>
    <w:p>
      <w:pPr>
        <w:pStyle w:val="EquationBlock"/>
        <w:jc w:val="center"/>
      </w:pPr>
      <w:r>
        <w:t>(10) e_r = f_resnet(I),   e_d = f_densenet(I)</w:t>
      </w:r>
    </w:p>
    <w:p>
      <w:pPr>
        <w:pStyle w:val="EquationBlock"/>
        <w:jc w:val="center"/>
      </w:pPr>
      <w:r>
        <w:t>(11) p_resnet = sigma(w_r^T e_r + b_r),   p_densenet = sigma(w_d^T e_d + b_d)</w:t>
      </w:r>
    </w:p>
    <w:p>
      <w:pPr>
        <w:pStyle w:val="EquationBlock"/>
        <w:jc w:val="center"/>
      </w:pPr>
      <w:r>
        <w:t>(12) z = StandardScaler(x_m)</w:t>
      </w:r>
    </w:p>
    <w:p>
      <w:pPr>
        <w:pStyle w:val="EquationBlock"/>
        <w:jc w:val="center"/>
      </w:pPr>
      <w:r>
        <w:t>(13) m = w^T z + b,   p_cf = sigma(m)</w:t>
      </w:r>
    </w:p>
    <w:p>
      <w:pPr>
        <w:pStyle w:val="EquationBlock"/>
        <w:jc w:val="center"/>
      </w:pPr>
      <w:r>
        <w:t>(14) delta_boundary = - ( max(m, 0) / ( ||w||_2^2 + eps ) ) * w</w:t>
      </w:r>
    </w:p>
    <w:p>
      <w:pPr>
        <w:pStyle w:val="EquationBlock"/>
        <w:jc w:val="center"/>
      </w:pPr>
      <w:r>
        <w:t>(15) delta_proto = mu_benign - z</w:t>
      </w:r>
    </w:p>
    <w:p>
      <w:pPr>
        <w:pStyle w:val="EquationBlock"/>
        <w:jc w:val="center"/>
      </w:pPr>
      <w:r>
        <w:t>(16) d_cf = max(m, 0) / ( ||w||_2 + eps )</w:t>
      </w:r>
    </w:p>
    <w:p>
      <w:pPr>
        <w:pStyle w:val="EquationBlock"/>
        <w:jc w:val="center"/>
      </w:pPr>
      <w:r>
        <w:t>(17) r_hat = Dropout( GELU( W_r * LN(e_r) + b_r ) )</w:t>
      </w:r>
    </w:p>
    <w:p>
      <w:pPr>
        <w:pStyle w:val="EquationBlock"/>
        <w:jc w:val="center"/>
      </w:pPr>
      <w:r>
        <w:t>(18) d_hat = Dropout( GELU( W_d * LN(e_d) + b_d ) )</w:t>
      </w:r>
    </w:p>
    <w:p>
      <w:pPr>
        <w:pStyle w:val="EquationBlock"/>
        <w:jc w:val="center"/>
      </w:pPr>
      <w:r>
        <w:t>(19) m_hat = Dropout( GELU( W_m * LN(x_m) + b_m ) )</w:t>
      </w:r>
    </w:p>
    <w:p>
      <w:pPr>
        <w:pStyle w:val="EquationBlock"/>
        <w:jc w:val="center"/>
      </w:pPr>
      <w:r>
        <w:t>(20) c_hat = Dropout( GELU( W_c * LN(x_cf) + b_c ) )</w:t>
      </w:r>
    </w:p>
    <w:p>
      <w:pPr>
        <w:pStyle w:val="EquationBlock"/>
        <w:jc w:val="center"/>
      </w:pPr>
      <w:r>
        <w:t>(21) s_hat = Dropout( GELU( W_s * LN(x_s) + b_s ) )</w:t>
      </w:r>
    </w:p>
    <w:p>
      <w:pPr>
        <w:pStyle w:val="EquationBlock"/>
        <w:jc w:val="center"/>
      </w:pPr>
      <w:r>
        <w:t>(22) g_r = sigmoid( W_cr * c_hat + b_cr ),   g_d = sigmoid( W_cd * c_hat + b_cd )</w:t>
      </w:r>
    </w:p>
    <w:p>
      <w:pPr>
        <w:pStyle w:val="EquationBlock"/>
        <w:jc w:val="center"/>
      </w:pPr>
      <w:r>
        <w:t>(23) r_tilde = r_hat odot g_r,   d_tilde = d_hat odot g_d</w:t>
      </w:r>
    </w:p>
    <w:p>
      <w:pPr>
        <w:pStyle w:val="EquationBlock"/>
        <w:jc w:val="center"/>
      </w:pPr>
      <w:r>
        <w:t>(24) s_tilde = Dropout( GELU( W_ms [m_hat ; c_hat] + b_ms ) ) + s_hat</w:t>
      </w:r>
    </w:p>
    <w:p>
      <w:pPr>
        <w:pStyle w:val="EquationBlock"/>
        <w:jc w:val="center"/>
      </w:pPr>
      <w:r>
        <w:t>(25) alpha = softmax( W_gate * LN([r_tilde ; d_tilde ; m_hat ; c_hat ; s_tilde]) + b_gate )</w:t>
      </w:r>
    </w:p>
    <w:p>
      <w:pPr>
        <w:pStyle w:val="EquationBlock"/>
        <w:jc w:val="center"/>
      </w:pPr>
      <w:r>
        <w:t>(26) u_modal = alpha_1 U_r(r_tilde) + alpha_2 U_d(d_tilde) + alpha_3 U_m(m_hat) + alpha_4 U_c(c_hat)</w:t>
      </w:r>
    </w:p>
    <w:p>
      <w:pPr>
        <w:pStyle w:val="EquationBlock"/>
        <w:jc w:val="center"/>
      </w:pPr>
      <w:r>
        <w:t>(27) u = [ u_modal ; U_s(s_tilde) ]</w:t>
      </w:r>
    </w:p>
    <w:p>
      <w:pPr>
        <w:pStyle w:val="EquationBlock"/>
        <w:jc w:val="center"/>
      </w:pPr>
      <w:r>
        <w:t>(28) y = W_o * Dropout( GELU( W_h * LN(u) + b_h ) ) + b_o</w:t>
      </w:r>
    </w:p>
    <w:p>
      <w:pPr>
        <w:pStyle w:val="EquationBlock"/>
        <w:jc w:val="center"/>
      </w:pPr>
      <w:r>
        <w:t>(29) p = softmax(y)</w:t>
      </w:r>
    </w:p>
    <w:p>
      <w:pPr>
        <w:pStyle w:val="EquationBlock"/>
        <w:jc w:val="center"/>
      </w:pPr>
      <w:r>
        <w:t>(30) L_CE = - sum_{i=1}^{N} sum_{k in {0,1}} w_k * 1[y_i = k] * log p_{ik}</w:t>
      </w:r>
    </w:p>
    <w:p>
      <w:pPr>
        <w:pStyle w:val="EquationBlock"/>
        <w:jc w:val="center"/>
      </w:pPr>
      <w:r>
        <w:t>(31) PatientMeanProb_j = (1 / n_j) * sum_{i=1}^{n_j} p_i</w:t>
      </w:r>
    </w:p>
    <w:p>
      <w:pPr>
        <w:pStyle w:val="EquationBlock"/>
        <w:jc w:val="center"/>
      </w:pPr>
      <w:r>
        <w:t>(32) PatientMeanCF_j = (1 / n_j^+) * sum_{i : plasma_i = 1} d_cf,i</w:t>
      </w:r>
    </w:p>
    <w:p>
      <w:pPr>
        <w:pStyle w:val="EquationBlock"/>
        <w:jc w:val="center"/>
      </w:pPr>
      <w:r>
        <w:t>(33) Consistency_j = mean( cosine(Delta_i, Delta_k) ) for i != k</w:t>
      </w:r>
    </w:p>
    <w:p>
      <w:pPr>
        <w:pStyle w:val="EquationBlock"/>
        <w:jc w:val="center"/>
      </w:pPr>
      <w:r>
        <w:t>(34) Score_patient = 0.6 * PatientMeanProb + 0.4 * PatientMeanCF</w:t>
      </w:r>
    </w:p>
    <w:p>
      <w:pPr>
        <w:pStyle w:val="Heading1"/>
      </w:pPr>
      <w:r>
        <w:t>C. Layer-by-Layer Novel Architecture Summary</w:t>
      </w:r>
    </w:p>
    <w:p>
      <w:pPr>
        <w:spacing w:after="140"/>
      </w:pPr>
      <w:r>
        <w:rPr>
          <w:b w:val="0"/>
        </w:rPr>
        <w:t>The table below summarizes the concrete layer stack saved in the final CounterfactualGuidedFusionNet configuration. This is based on the actual research script and saved feature dimensions rather than generic assumptions.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F2937"/>
          </w:tcPr>
          <w:p>
            <w:r>
              <w:rPr>
                <w:b/>
              </w:rPr>
              <w:t>Module</w:t>
            </w:r>
          </w:p>
        </w:tc>
        <w:tc>
          <w:tcPr>
            <w:tcW w:type="dxa" w:w="2045"/>
            <w:shd w:fill="1F2937"/>
          </w:tcPr>
          <w:p>
            <w:r>
              <w:rPr>
                <w:b/>
              </w:rPr>
              <w:t>Input dimension</w:t>
            </w:r>
          </w:p>
        </w:tc>
        <w:tc>
          <w:tcPr>
            <w:tcW w:type="dxa" w:w="2045"/>
            <w:shd w:fill="1F2937"/>
          </w:tcPr>
          <w:p>
            <w:r>
              <w:rPr>
                <w:b/>
              </w:rPr>
              <w:t>Layers</w:t>
            </w:r>
          </w:p>
        </w:tc>
        <w:tc>
          <w:tcPr>
            <w:tcW w:type="dxa" w:w="2045"/>
            <w:shd w:fill="1F2937"/>
          </w:tcPr>
          <w:p>
            <w:r>
              <w:rPr>
                <w:b/>
              </w:rPr>
              <w:t>Output dimension</w:t>
            </w:r>
          </w:p>
        </w:tc>
        <w:tc>
          <w:tcPr>
            <w:tcW w:type="dxa" w:w="2045"/>
            <w:shd w:fill="1F2937"/>
          </w:tcPr>
          <w:p>
            <w:r>
              <w:rPr>
                <w:b/>
              </w:rPr>
              <w:t>Functional role</w:t>
            </w:r>
          </w:p>
        </w:tc>
      </w:tr>
      <w:tr>
        <w:tc>
          <w:tcPr>
            <w:tcW w:type="dxa" w:w="2045"/>
          </w:tcPr>
          <w:p>
            <w:r>
              <w:t>Res encoder</w:t>
            </w:r>
          </w:p>
        </w:tc>
        <w:tc>
          <w:tcPr>
            <w:tcW w:type="dxa" w:w="2045"/>
          </w:tcPr>
          <w:p>
            <w:r>
              <w:t>2048</w:t>
            </w:r>
          </w:p>
        </w:tc>
        <w:tc>
          <w:tcPr>
            <w:tcW w:type="dxa" w:w="2045"/>
          </w:tcPr>
          <w:p>
            <w:r>
              <w:t>LayerNorm -&gt; Linear -&gt; GELU -&gt; Dropout</w:t>
            </w:r>
          </w:p>
        </w:tc>
        <w:tc>
          <w:tcPr>
            <w:tcW w:type="dxa" w:w="2045"/>
          </w:tcPr>
          <w:p>
            <w:r>
              <w:t>256</w:t>
            </w:r>
          </w:p>
        </w:tc>
        <w:tc>
          <w:tcPr>
            <w:tcW w:type="dxa" w:w="2045"/>
          </w:tcPr>
          <w:p>
            <w:r>
              <w:t>Compresses ResNet semantic embedding</w:t>
            </w:r>
          </w:p>
        </w:tc>
      </w:tr>
      <w:tr>
        <w:tc>
          <w:tcPr>
            <w:tcW w:type="dxa" w:w="2045"/>
          </w:tcPr>
          <w:p>
            <w:r>
              <w:t>Dense encoder</w:t>
            </w:r>
          </w:p>
        </w:tc>
        <w:tc>
          <w:tcPr>
            <w:tcW w:type="dxa" w:w="2045"/>
          </w:tcPr>
          <w:p>
            <w:r>
              <w:t>1024</w:t>
            </w:r>
          </w:p>
        </w:tc>
        <w:tc>
          <w:tcPr>
            <w:tcW w:type="dxa" w:w="2045"/>
          </w:tcPr>
          <w:p>
            <w:r>
              <w:t>LayerNorm -&gt; Linear -&gt; GELU -&gt; Dropout</w:t>
            </w:r>
          </w:p>
        </w:tc>
        <w:tc>
          <w:tcPr>
            <w:tcW w:type="dxa" w:w="2045"/>
          </w:tcPr>
          <w:p>
            <w:r>
              <w:t>256</w:t>
            </w:r>
          </w:p>
        </w:tc>
        <w:tc>
          <w:tcPr>
            <w:tcW w:type="dxa" w:w="2045"/>
          </w:tcPr>
          <w:p>
            <w:r>
              <w:t>Compresses DenseNet texture embedding</w:t>
            </w:r>
          </w:p>
        </w:tc>
      </w:tr>
      <w:tr>
        <w:tc>
          <w:tcPr>
            <w:tcW w:type="dxa" w:w="2045"/>
          </w:tcPr>
          <w:p>
            <w:r>
              <w:t>Morph encoder</w:t>
            </w:r>
          </w:p>
        </w:tc>
        <w:tc>
          <w:tcPr>
            <w:tcW w:type="dxa" w:w="2045"/>
          </w:tcPr>
          <w:p>
            <w:r>
              <w:t>10</w:t>
            </w:r>
          </w:p>
        </w:tc>
        <w:tc>
          <w:tcPr>
            <w:tcW w:type="dxa" w:w="2045"/>
          </w:tcPr>
          <w:p>
            <w:r>
              <w:t>LayerNorm -&gt; Linear -&gt; GELU -&gt; Dropout</w:t>
            </w:r>
          </w:p>
        </w:tc>
        <w:tc>
          <w:tcPr>
            <w:tcW w:type="dxa" w:w="2045"/>
          </w:tcPr>
          <w:p>
            <w:r>
              <w:t>128</w:t>
            </w:r>
          </w:p>
        </w:tc>
        <w:tc>
          <w:tcPr>
            <w:tcW w:type="dxa" w:w="2045"/>
          </w:tcPr>
          <w:p>
            <w:r>
              <w:t>Encodes handcrafted morphology vector</w:t>
            </w:r>
          </w:p>
        </w:tc>
      </w:tr>
      <w:tr>
        <w:tc>
          <w:tcPr>
            <w:tcW w:type="dxa" w:w="2045"/>
          </w:tcPr>
          <w:p>
            <w:r>
              <w:t>CF encoder</w:t>
            </w:r>
          </w:p>
        </w:tc>
        <w:tc>
          <w:tcPr>
            <w:tcW w:type="dxa" w:w="2045"/>
          </w:tcPr>
          <w:p>
            <w:r>
              <w:t>24</w:t>
            </w:r>
          </w:p>
        </w:tc>
        <w:tc>
          <w:tcPr>
            <w:tcW w:type="dxa" w:w="2045"/>
          </w:tcPr>
          <w:p>
            <w:r>
              <w:t>LayerNorm -&gt; Linear -&gt; GELU -&gt; Dropout</w:t>
            </w:r>
          </w:p>
        </w:tc>
        <w:tc>
          <w:tcPr>
            <w:tcW w:type="dxa" w:w="2045"/>
          </w:tcPr>
          <w:p>
            <w:r>
              <w:t>128</w:t>
            </w:r>
          </w:p>
        </w:tc>
        <w:tc>
          <w:tcPr>
            <w:tcW w:type="dxa" w:w="2045"/>
          </w:tcPr>
          <w:p>
            <w:r>
              <w:t>Encodes counterfactual geometry</w:t>
            </w:r>
          </w:p>
        </w:tc>
      </w:tr>
      <w:tr>
        <w:tc>
          <w:tcPr>
            <w:tcW w:type="dxa" w:w="2045"/>
          </w:tcPr>
          <w:p>
            <w:r>
              <w:t>Score encoder</w:t>
            </w:r>
          </w:p>
        </w:tc>
        <w:tc>
          <w:tcPr>
            <w:tcW w:type="dxa" w:w="2045"/>
          </w:tcPr>
          <w:p>
            <w:r>
              <w:t>3</w:t>
            </w:r>
          </w:p>
        </w:tc>
        <w:tc>
          <w:tcPr>
            <w:tcW w:type="dxa" w:w="2045"/>
          </w:tcPr>
          <w:p>
            <w:r>
              <w:t>LayerNorm -&gt; Linear -&gt; GELU -&gt; Dropout</w:t>
            </w:r>
          </w:p>
        </w:tc>
        <w:tc>
          <w:tcPr>
            <w:tcW w:type="dxa" w:w="2045"/>
          </w:tcPr>
          <w:p>
            <w:r>
              <w:t>128</w:t>
            </w:r>
          </w:p>
        </w:tc>
        <w:tc>
          <w:tcPr>
            <w:tcW w:type="dxa" w:w="2045"/>
          </w:tcPr>
          <w:p>
            <w:r>
              <w:t>Encodes branch-level probabilities</w:t>
            </w:r>
          </w:p>
        </w:tc>
      </w:tr>
      <w:tr>
        <w:tc>
          <w:tcPr>
            <w:tcW w:type="dxa" w:w="2045"/>
          </w:tcPr>
          <w:p>
            <w:r>
              <w:t>CF-to-Res gate</w:t>
            </w:r>
          </w:p>
        </w:tc>
        <w:tc>
          <w:tcPr>
            <w:tcW w:type="dxa" w:w="2045"/>
          </w:tcPr>
          <w:p>
            <w:r>
              <w:t>128</w:t>
            </w:r>
          </w:p>
        </w:tc>
        <w:tc>
          <w:tcPr>
            <w:tcW w:type="dxa" w:w="2045"/>
          </w:tcPr>
          <w:p>
            <w:r>
              <w:t>Linear -&gt; Sigmoid</w:t>
            </w:r>
          </w:p>
        </w:tc>
        <w:tc>
          <w:tcPr>
            <w:tcW w:type="dxa" w:w="2045"/>
          </w:tcPr>
          <w:p>
            <w:r>
              <w:t>256</w:t>
            </w:r>
          </w:p>
        </w:tc>
        <w:tc>
          <w:tcPr>
            <w:tcW w:type="dxa" w:w="2045"/>
          </w:tcPr>
          <w:p>
            <w:r>
              <w:t>Gates ResNet latent with counterfactual evidence</w:t>
            </w:r>
          </w:p>
        </w:tc>
      </w:tr>
      <w:tr>
        <w:tc>
          <w:tcPr>
            <w:tcW w:type="dxa" w:w="2045"/>
          </w:tcPr>
          <w:p>
            <w:r>
              <w:t>CF-to-Dense gate</w:t>
            </w:r>
          </w:p>
        </w:tc>
        <w:tc>
          <w:tcPr>
            <w:tcW w:type="dxa" w:w="2045"/>
          </w:tcPr>
          <w:p>
            <w:r>
              <w:t>128</w:t>
            </w:r>
          </w:p>
        </w:tc>
        <w:tc>
          <w:tcPr>
            <w:tcW w:type="dxa" w:w="2045"/>
          </w:tcPr>
          <w:p>
            <w:r>
              <w:t>Linear -&gt; Sigmoid</w:t>
            </w:r>
          </w:p>
        </w:tc>
        <w:tc>
          <w:tcPr>
            <w:tcW w:type="dxa" w:w="2045"/>
          </w:tcPr>
          <w:p>
            <w:r>
              <w:t>256</w:t>
            </w:r>
          </w:p>
        </w:tc>
        <w:tc>
          <w:tcPr>
            <w:tcW w:type="dxa" w:w="2045"/>
          </w:tcPr>
          <w:p>
            <w:r>
              <w:t>Gates DenseNet latent with counterfactual evidence</w:t>
            </w:r>
          </w:p>
        </w:tc>
      </w:tr>
      <w:tr>
        <w:tc>
          <w:tcPr>
            <w:tcW w:type="dxa" w:w="2045"/>
          </w:tcPr>
          <w:p>
            <w:r>
              <w:t>Morph-to-score refiner</w:t>
            </w:r>
          </w:p>
        </w:tc>
        <w:tc>
          <w:tcPr>
            <w:tcW w:type="dxa" w:w="2045"/>
          </w:tcPr>
          <w:p>
            <w:r>
              <w:t>256</w:t>
            </w:r>
          </w:p>
        </w:tc>
        <w:tc>
          <w:tcPr>
            <w:tcW w:type="dxa" w:w="2045"/>
          </w:tcPr>
          <w:p>
            <w:r>
              <w:t>Linear -&gt; GELU -&gt; Dropout</w:t>
            </w:r>
          </w:p>
        </w:tc>
        <w:tc>
          <w:tcPr>
            <w:tcW w:type="dxa" w:w="2045"/>
          </w:tcPr>
          <w:p>
            <w:r>
              <w:t>128</w:t>
            </w:r>
          </w:p>
        </w:tc>
        <w:tc>
          <w:tcPr>
            <w:tcW w:type="dxa" w:w="2045"/>
          </w:tcPr>
          <w:p>
            <w:r>
              <w:t>Injects morphology + CF context into score latent</w:t>
            </w:r>
          </w:p>
        </w:tc>
      </w:tr>
      <w:tr>
        <w:tc>
          <w:tcPr>
            <w:tcW w:type="dxa" w:w="2045"/>
          </w:tcPr>
          <w:p>
            <w:r>
              <w:t>Modality gate</w:t>
            </w:r>
          </w:p>
        </w:tc>
        <w:tc>
          <w:tcPr>
            <w:tcW w:type="dxa" w:w="2045"/>
          </w:tcPr>
          <w:p>
            <w:r>
              <w:t>896</w:t>
            </w:r>
          </w:p>
        </w:tc>
        <w:tc>
          <w:tcPr>
            <w:tcW w:type="dxa" w:w="2045"/>
          </w:tcPr>
          <w:p>
            <w:r>
              <w:t>LayerNorm -&gt; Linear -&gt; Softmax</w:t>
            </w:r>
          </w:p>
        </w:tc>
        <w:tc>
          <w:tcPr>
            <w:tcW w:type="dxa" w:w="2045"/>
          </w:tcPr>
          <w:p>
            <w:r>
              <w:t>4</w:t>
            </w:r>
          </w:p>
        </w:tc>
        <w:tc>
          <w:tcPr>
            <w:tcW w:type="dxa" w:w="2045"/>
          </w:tcPr>
          <w:p>
            <w:r>
              <w:t>Learns relative modality weights</w:t>
            </w:r>
          </w:p>
        </w:tc>
      </w:tr>
      <w:tr>
        <w:tc>
          <w:tcPr>
            <w:tcW w:type="dxa" w:w="2045"/>
          </w:tcPr>
          <w:p>
            <w:r>
              <w:t>Unification block</w:t>
            </w:r>
          </w:p>
        </w:tc>
        <w:tc>
          <w:tcPr>
            <w:tcW w:type="dxa" w:w="2045"/>
          </w:tcPr>
          <w:p>
            <w:r>
              <w:t>256/128</w:t>
            </w:r>
          </w:p>
        </w:tc>
        <w:tc>
          <w:tcPr>
            <w:tcW w:type="dxa" w:w="2045"/>
          </w:tcPr>
          <w:p>
            <w:r>
              <w:t>Linear projections to shared hidden space</w:t>
            </w:r>
          </w:p>
        </w:tc>
        <w:tc>
          <w:tcPr>
            <w:tcW w:type="dxa" w:w="2045"/>
          </w:tcPr>
          <w:p>
            <w:r>
              <w:t>256</w:t>
            </w:r>
          </w:p>
        </w:tc>
        <w:tc>
          <w:tcPr>
            <w:tcW w:type="dxa" w:w="2045"/>
          </w:tcPr>
          <w:p>
            <w:r>
              <w:t>Brings branches into common fusion space</w:t>
            </w:r>
          </w:p>
        </w:tc>
      </w:tr>
      <w:tr>
        <w:tc>
          <w:tcPr>
            <w:tcW w:type="dxa" w:w="2045"/>
          </w:tcPr>
          <w:p>
            <w:r>
              <w:t>Classifier</w:t>
            </w:r>
          </w:p>
        </w:tc>
        <w:tc>
          <w:tcPr>
            <w:tcW w:type="dxa" w:w="2045"/>
          </w:tcPr>
          <w:p>
            <w:r>
              <w:t>512</w:t>
            </w:r>
          </w:p>
        </w:tc>
        <w:tc>
          <w:tcPr>
            <w:tcW w:type="dxa" w:w="2045"/>
          </w:tcPr>
          <w:p>
            <w:r>
              <w:t>LayerNorm -&gt; Linear -&gt; GELU -&gt; Dropout -&gt; Linear</w:t>
            </w:r>
          </w:p>
        </w:tc>
        <w:tc>
          <w:tcPr>
            <w:tcW w:type="dxa" w:w="2045"/>
          </w:tcPr>
          <w:p>
            <w:r>
              <w:t>2</w:t>
            </w:r>
          </w:p>
        </w:tc>
        <w:tc>
          <w:tcPr>
            <w:tcW w:type="dxa" w:w="2045"/>
          </w:tcPr>
          <w:p>
            <w:r>
              <w:t>Produces final binary logits</w:t>
            </w:r>
          </w:p>
        </w:tc>
      </w:tr>
    </w:tbl>
    <w:p>
      <w:pPr>
        <w:pStyle w:val="Heading1"/>
      </w:pPr>
      <w:r>
        <w:t>D. Quantitative Tables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F2937"/>
          </w:tcPr>
          <w:p>
            <w:r>
              <w:rPr>
                <w:b/>
              </w:rPr>
              <w:t>Model</w:t>
            </w:r>
          </w:p>
        </w:tc>
        <w:tc>
          <w:tcPr>
            <w:tcW w:type="dxa" w:w="1704"/>
            <w:shd w:fill="1F2937"/>
          </w:tcPr>
          <w:p>
            <w:r>
              <w:rPr>
                <w:b/>
              </w:rPr>
              <w:t>Accuracy</w:t>
            </w:r>
          </w:p>
        </w:tc>
        <w:tc>
          <w:tcPr>
            <w:tcW w:type="dxa" w:w="1704"/>
            <w:shd w:fill="1F2937"/>
          </w:tcPr>
          <w:p>
            <w:r>
              <w:rPr>
                <w:b/>
              </w:rPr>
              <w:t>Weighted F1</w:t>
            </w:r>
          </w:p>
        </w:tc>
        <w:tc>
          <w:tcPr>
            <w:tcW w:type="dxa" w:w="1704"/>
            <w:shd w:fill="1F2937"/>
          </w:tcPr>
          <w:p>
            <w:r>
              <w:rPr>
                <w:b/>
              </w:rPr>
              <w:t>Plasma precision</w:t>
            </w:r>
          </w:p>
        </w:tc>
        <w:tc>
          <w:tcPr>
            <w:tcW w:type="dxa" w:w="1704"/>
            <w:shd w:fill="1F2937"/>
          </w:tcPr>
          <w:p>
            <w:r>
              <w:rPr>
                <w:b/>
              </w:rPr>
              <w:t>Plasma recall</w:t>
            </w:r>
          </w:p>
        </w:tc>
        <w:tc>
          <w:tcPr>
            <w:tcW w:type="dxa" w:w="1704"/>
            <w:shd w:fill="1F2937"/>
          </w:tcPr>
          <w:p>
            <w:r>
              <w:rPr>
                <w:b/>
              </w:rPr>
              <w:t>AUC</w:t>
            </w:r>
          </w:p>
        </w:tc>
      </w:tr>
      <w:tr>
        <w:tc>
          <w:tcPr>
            <w:tcW w:type="dxa" w:w="1704"/>
          </w:tcPr>
          <w:p>
            <w:r>
              <w:t>PlasmaXAI</w:t>
            </w:r>
          </w:p>
        </w:tc>
        <w:tc>
          <w:tcPr>
            <w:tcW w:type="dxa" w:w="1704"/>
          </w:tcPr>
          <w:p>
            <w:r>
              <w:t>93.42</w:t>
            </w:r>
          </w:p>
        </w:tc>
        <w:tc>
          <w:tcPr>
            <w:tcW w:type="dxa" w:w="1704"/>
          </w:tcPr>
          <w:p>
            <w:r>
              <w:t>93.43</w:t>
            </w:r>
          </w:p>
        </w:tc>
        <w:tc>
          <w:tcPr>
            <w:tcW w:type="dxa" w:w="1704"/>
          </w:tcPr>
          <w:p>
            <w:r>
              <w:t>91.24</w:t>
            </w:r>
          </w:p>
        </w:tc>
        <w:tc>
          <w:tcPr>
            <w:tcW w:type="dxa" w:w="1704"/>
          </w:tcPr>
          <w:p>
            <w:r>
              <w:t>94.63</w:t>
            </w:r>
          </w:p>
        </w:tc>
        <w:tc>
          <w:tcPr>
            <w:tcW w:type="dxa" w:w="1704"/>
          </w:tcPr>
          <w:p>
            <w:r>
              <w:t>97.76</w:t>
            </w:r>
          </w:p>
        </w:tc>
      </w:tr>
      <w:tr>
        <w:tc>
          <w:tcPr>
            <w:tcW w:type="dxa" w:w="1704"/>
          </w:tcPr>
          <w:p>
            <w:r>
              <w:t>ResNet50</w:t>
            </w:r>
          </w:p>
        </w:tc>
        <w:tc>
          <w:tcPr>
            <w:tcW w:type="dxa" w:w="1704"/>
          </w:tcPr>
          <w:p>
            <w:r>
              <w:t>91.92</w:t>
            </w:r>
          </w:p>
        </w:tc>
        <w:tc>
          <w:tcPr>
            <w:tcW w:type="dxa" w:w="1704"/>
          </w:tcPr>
          <w:p>
            <w:r>
              <w:t>91.93</w:t>
            </w:r>
          </w:p>
        </w:tc>
        <w:tc>
          <w:tcPr>
            <w:tcW w:type="dxa" w:w="1704"/>
          </w:tcPr>
          <w:p>
            <w:r>
              <w:t>89.02</w:t>
            </w:r>
          </w:p>
        </w:tc>
        <w:tc>
          <w:tcPr>
            <w:tcW w:type="dxa" w:w="1704"/>
          </w:tcPr>
          <w:p>
            <w:r>
              <w:t>93.80</w:t>
            </w:r>
          </w:p>
        </w:tc>
        <w:tc>
          <w:tcPr>
            <w:tcW w:type="dxa" w:w="1704"/>
          </w:tcPr>
          <w:p>
            <w:r>
              <w:t>97.05</w:t>
            </w:r>
          </w:p>
        </w:tc>
      </w:tr>
      <w:tr>
        <w:tc>
          <w:tcPr>
            <w:tcW w:type="dxa" w:w="1704"/>
          </w:tcPr>
          <w:p>
            <w:r>
              <w:t>Prev Hybrid</w:t>
            </w:r>
          </w:p>
        </w:tc>
        <w:tc>
          <w:tcPr>
            <w:tcW w:type="dxa" w:w="1704"/>
          </w:tcPr>
          <w:p>
            <w:r>
              <w:t>91.73</w:t>
            </w:r>
          </w:p>
        </w:tc>
        <w:tc>
          <w:tcPr>
            <w:tcW w:type="dxa" w:w="1704"/>
          </w:tcPr>
          <w:p>
            <w:r>
              <w:t>91.73</w:t>
            </w:r>
          </w:p>
        </w:tc>
        <w:tc>
          <w:tcPr>
            <w:tcW w:type="dxa" w:w="1704"/>
          </w:tcPr>
          <w:p>
            <w:r>
              <w:t>90.91</w:t>
            </w:r>
          </w:p>
        </w:tc>
        <w:tc>
          <w:tcPr>
            <w:tcW w:type="dxa" w:w="1704"/>
          </w:tcPr>
          <w:p>
            <w:r>
              <w:t>90.91</w:t>
            </w:r>
          </w:p>
        </w:tc>
        <w:tc>
          <w:tcPr>
            <w:tcW w:type="dxa" w:w="1704"/>
          </w:tcPr>
          <w:p>
            <w:r>
              <w:t>97.12</w:t>
            </w:r>
          </w:p>
        </w:tc>
      </w:tr>
      <w:tr>
        <w:tc>
          <w:tcPr>
            <w:tcW w:type="dxa" w:w="1704"/>
          </w:tcPr>
          <w:p>
            <w:r>
              <w:t>DenseNet121</w:t>
            </w:r>
          </w:p>
        </w:tc>
        <w:tc>
          <w:tcPr>
            <w:tcW w:type="dxa" w:w="1704"/>
          </w:tcPr>
          <w:p>
            <w:r>
              <w:t>89.85</w:t>
            </w:r>
          </w:p>
        </w:tc>
        <w:tc>
          <w:tcPr>
            <w:tcW w:type="dxa" w:w="1704"/>
          </w:tcPr>
          <w:p>
            <w:r>
              <w:t>89.83</w:t>
            </w:r>
          </w:p>
        </w:tc>
        <w:tc>
          <w:tcPr>
            <w:tcW w:type="dxa" w:w="1704"/>
          </w:tcPr>
          <w:p>
            <w:r>
              <w:t>90.17</w:t>
            </w:r>
          </w:p>
        </w:tc>
        <w:tc>
          <w:tcPr>
            <w:tcW w:type="dxa" w:w="1704"/>
          </w:tcPr>
          <w:p>
            <w:r>
              <w:t>87.19</w:t>
            </w:r>
          </w:p>
        </w:tc>
        <w:tc>
          <w:tcPr>
            <w:tcW w:type="dxa" w:w="1704"/>
          </w:tcPr>
          <w:p>
            <w:r>
              <w:t>96.36</w:t>
            </w:r>
          </w:p>
        </w:tc>
      </w:tr>
      <w:tr>
        <w:tc>
          <w:tcPr>
            <w:tcW w:type="dxa" w:w="1704"/>
          </w:tcPr>
          <w:p>
            <w:r>
              <w:t>Morph XGBoost</w:t>
            </w:r>
          </w:p>
        </w:tc>
        <w:tc>
          <w:tcPr>
            <w:tcW w:type="dxa" w:w="1704"/>
          </w:tcPr>
          <w:p>
            <w:r>
              <w:t>84.96</w:t>
            </w:r>
          </w:p>
        </w:tc>
        <w:tc>
          <w:tcPr>
            <w:tcW w:type="dxa" w:w="1704"/>
          </w:tcPr>
          <w:p>
            <w:r>
              <w:t>84.99</w:t>
            </w:r>
          </w:p>
        </w:tc>
        <w:tc>
          <w:tcPr>
            <w:tcW w:type="dxa" w:w="1704"/>
          </w:tcPr>
          <w:p>
            <w:r>
              <w:t>80.22</w:t>
            </w:r>
          </w:p>
        </w:tc>
        <w:tc>
          <w:tcPr>
            <w:tcW w:type="dxa" w:w="1704"/>
          </w:tcPr>
          <w:p>
            <w:r>
              <w:t>88.84</w:t>
            </w:r>
          </w:p>
        </w:tc>
        <w:tc>
          <w:tcPr>
            <w:tcW w:type="dxa" w:w="1704"/>
          </w:tcPr>
          <w:p>
            <w:r>
              <w:t>92.94</w:t>
            </w:r>
          </w:p>
        </w:tc>
      </w:tr>
      <w:tr>
        <w:tc>
          <w:tcPr>
            <w:tcW w:type="dxa" w:w="1704"/>
          </w:tcPr>
          <w:p>
            <w:r>
              <w:t>Morph Random Forest</w:t>
            </w:r>
          </w:p>
        </w:tc>
        <w:tc>
          <w:tcPr>
            <w:tcW w:type="dxa" w:w="1704"/>
          </w:tcPr>
          <w:p>
            <w:r>
              <w:t>83.27</w:t>
            </w:r>
          </w:p>
        </w:tc>
        <w:tc>
          <w:tcPr>
            <w:tcW w:type="dxa" w:w="1704"/>
          </w:tcPr>
          <w:p>
            <w:r>
              <w:t>83.30</w:t>
            </w:r>
          </w:p>
        </w:tc>
        <w:tc>
          <w:tcPr>
            <w:tcW w:type="dxa" w:w="1704"/>
          </w:tcPr>
          <w:p>
            <w:r>
              <w:t>77.62</w:t>
            </w:r>
          </w:p>
        </w:tc>
        <w:tc>
          <w:tcPr>
            <w:tcW w:type="dxa" w:w="1704"/>
          </w:tcPr>
          <w:p>
            <w:r>
              <w:t>88.84</w:t>
            </w:r>
          </w:p>
        </w:tc>
        <w:tc>
          <w:tcPr>
            <w:tcW w:type="dxa" w:w="1704"/>
          </w:tcPr>
          <w:p>
            <w:r>
              <w:t>92.08</w:t>
            </w:r>
          </w:p>
        </w:tc>
      </w:tr>
      <w:tr>
        <w:tc>
          <w:tcPr>
            <w:tcW w:type="dxa" w:w="1704"/>
          </w:tcPr>
          <w:p>
            <w:r>
              <w:t>Morph RBF-SVM</w:t>
            </w:r>
          </w:p>
        </w:tc>
        <w:tc>
          <w:tcPr>
            <w:tcW w:type="dxa" w:w="1704"/>
          </w:tcPr>
          <w:p>
            <w:r>
              <w:t>80.26</w:t>
            </w:r>
          </w:p>
        </w:tc>
        <w:tc>
          <w:tcPr>
            <w:tcW w:type="dxa" w:w="1704"/>
          </w:tcPr>
          <w:p>
            <w:r>
              <w:t>80.28</w:t>
            </w:r>
          </w:p>
        </w:tc>
        <w:tc>
          <w:tcPr>
            <w:tcW w:type="dxa" w:w="1704"/>
          </w:tcPr>
          <w:p>
            <w:r>
              <w:t>74.04</w:t>
            </w:r>
          </w:p>
        </w:tc>
        <w:tc>
          <w:tcPr>
            <w:tcW w:type="dxa" w:w="1704"/>
          </w:tcPr>
          <w:p>
            <w:r>
              <w:t>87.19</w:t>
            </w:r>
          </w:p>
        </w:tc>
        <w:tc>
          <w:tcPr>
            <w:tcW w:type="dxa" w:w="1704"/>
          </w:tcPr>
          <w:p>
            <w:r>
              <w:t>90.89</w:t>
            </w:r>
          </w:p>
        </w:tc>
      </w:tr>
      <w:tr>
        <w:tc>
          <w:tcPr>
            <w:tcW w:type="dxa" w:w="1704"/>
          </w:tcPr>
          <w:p>
            <w:r>
              <w:t>Morph Logistic Regression</w:t>
            </w:r>
          </w:p>
        </w:tc>
        <w:tc>
          <w:tcPr>
            <w:tcW w:type="dxa" w:w="1704"/>
          </w:tcPr>
          <w:p>
            <w:r>
              <w:t>78.38</w:t>
            </w:r>
          </w:p>
        </w:tc>
        <w:tc>
          <w:tcPr>
            <w:tcW w:type="dxa" w:w="1704"/>
          </w:tcPr>
          <w:p>
            <w:r>
              <w:t>78.27</w:t>
            </w:r>
          </w:p>
        </w:tc>
        <w:tc>
          <w:tcPr>
            <w:tcW w:type="dxa" w:w="1704"/>
          </w:tcPr>
          <w:p>
            <w:r>
              <w:t>70.42</w:t>
            </w:r>
          </w:p>
        </w:tc>
        <w:tc>
          <w:tcPr>
            <w:tcW w:type="dxa" w:w="1704"/>
          </w:tcPr>
          <w:p>
            <w:r>
              <w:t>90.50</w:t>
            </w:r>
          </w:p>
        </w:tc>
        <w:tc>
          <w:tcPr>
            <w:tcW w:type="dxa" w:w="1704"/>
          </w:tcPr>
          <w:p>
            <w:r>
              <w:t>87.76</w:t>
            </w:r>
          </w:p>
        </w:tc>
      </w:tr>
    </w:tbl>
    <w:p>
      <w:pPr>
        <w:spacing w:after="140"/>
      </w:pPr>
      <w:r>
        <w:rPr>
          <w:b w:val="0"/>
        </w:rPr>
        <w:t>Ablation results are reproduced below because they provide the strongest evidence that the counterfactual path is functionally important rather than cosmetic.</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F2937"/>
          </w:tcPr>
          <w:p>
            <w:r>
              <w:rPr>
                <w:b/>
              </w:rPr>
              <w:t>Ablation</w:t>
            </w:r>
          </w:p>
        </w:tc>
        <w:tc>
          <w:tcPr>
            <w:tcW w:type="dxa" w:w="1704"/>
            <w:shd w:fill="1F2937"/>
          </w:tcPr>
          <w:p>
            <w:r>
              <w:rPr>
                <w:b/>
              </w:rPr>
              <w:t>Accuracy</w:t>
            </w:r>
          </w:p>
        </w:tc>
        <w:tc>
          <w:tcPr>
            <w:tcW w:type="dxa" w:w="1704"/>
            <w:shd w:fill="1F2937"/>
          </w:tcPr>
          <w:p>
            <w:r>
              <w:rPr>
                <w:b/>
              </w:rPr>
              <w:t>Weighted F1</w:t>
            </w:r>
          </w:p>
        </w:tc>
        <w:tc>
          <w:tcPr>
            <w:tcW w:type="dxa" w:w="1704"/>
            <w:shd w:fill="1F2937"/>
          </w:tcPr>
          <w:p>
            <w:r>
              <w:rPr>
                <w:b/>
              </w:rPr>
              <w:t>Plasma precision</w:t>
            </w:r>
          </w:p>
        </w:tc>
        <w:tc>
          <w:tcPr>
            <w:tcW w:type="dxa" w:w="1704"/>
            <w:shd w:fill="1F2937"/>
          </w:tcPr>
          <w:p>
            <w:r>
              <w:rPr>
                <w:b/>
              </w:rPr>
              <w:t>Plasma recall</w:t>
            </w:r>
          </w:p>
        </w:tc>
        <w:tc>
          <w:tcPr>
            <w:tcW w:type="dxa" w:w="1704"/>
            <w:shd w:fill="1F2937"/>
          </w:tcPr>
          <w:p>
            <w:r>
              <w:rPr>
                <w:b/>
              </w:rPr>
              <w:t>AUC</w:t>
            </w:r>
          </w:p>
        </w:tc>
      </w:tr>
      <w:tr>
        <w:tc>
          <w:tcPr>
            <w:tcW w:type="dxa" w:w="1704"/>
          </w:tcPr>
          <w:p>
            <w:r>
              <w:t>Image Only</w:t>
            </w:r>
          </w:p>
        </w:tc>
        <w:tc>
          <w:tcPr>
            <w:tcW w:type="dxa" w:w="1704"/>
          </w:tcPr>
          <w:p>
            <w:r>
              <w:t>93.42</w:t>
            </w:r>
          </w:p>
        </w:tc>
        <w:tc>
          <w:tcPr>
            <w:tcW w:type="dxa" w:w="1704"/>
          </w:tcPr>
          <w:p>
            <w:r>
              <w:t>93.42</w:t>
            </w:r>
          </w:p>
        </w:tc>
        <w:tc>
          <w:tcPr>
            <w:tcW w:type="dxa" w:w="1704"/>
          </w:tcPr>
          <w:p>
            <w:r>
              <w:t>93.31</w:t>
            </w:r>
          </w:p>
        </w:tc>
        <w:tc>
          <w:tcPr>
            <w:tcW w:type="dxa" w:w="1704"/>
          </w:tcPr>
          <w:p>
            <w:r>
              <w:t>92.15</w:t>
            </w:r>
          </w:p>
        </w:tc>
        <w:tc>
          <w:tcPr>
            <w:tcW w:type="dxa" w:w="1704"/>
          </w:tcPr>
          <w:p>
            <w:r>
              <w:t>97.57</w:t>
            </w:r>
          </w:p>
        </w:tc>
      </w:tr>
      <w:tr>
        <w:tc>
          <w:tcPr>
            <w:tcW w:type="dxa" w:w="1704"/>
          </w:tcPr>
          <w:p>
            <w:r>
              <w:t>Without Morphology</w:t>
            </w:r>
          </w:p>
        </w:tc>
        <w:tc>
          <w:tcPr>
            <w:tcW w:type="dxa" w:w="1704"/>
          </w:tcPr>
          <w:p>
            <w:r>
              <w:t>93.05</w:t>
            </w:r>
          </w:p>
        </w:tc>
        <w:tc>
          <w:tcPr>
            <w:tcW w:type="dxa" w:w="1704"/>
          </w:tcPr>
          <w:p>
            <w:r>
              <w:t>93.05</w:t>
            </w:r>
          </w:p>
        </w:tc>
        <w:tc>
          <w:tcPr>
            <w:tcW w:type="dxa" w:w="1704"/>
          </w:tcPr>
          <w:p>
            <w:r>
              <w:t>91.16</w:t>
            </w:r>
          </w:p>
        </w:tc>
        <w:tc>
          <w:tcPr>
            <w:tcW w:type="dxa" w:w="1704"/>
          </w:tcPr>
          <w:p>
            <w:r>
              <w:t>93.80</w:t>
            </w:r>
          </w:p>
        </w:tc>
        <w:tc>
          <w:tcPr>
            <w:tcW w:type="dxa" w:w="1704"/>
          </w:tcPr>
          <w:p>
            <w:r>
              <w:t>96.98</w:t>
            </w:r>
          </w:p>
        </w:tc>
      </w:tr>
      <w:tr>
        <w:tc>
          <w:tcPr>
            <w:tcW w:type="dxa" w:w="1704"/>
          </w:tcPr>
          <w:p>
            <w:r>
              <w:t>Without Counterfactual Path</w:t>
            </w:r>
          </w:p>
        </w:tc>
        <w:tc>
          <w:tcPr>
            <w:tcW w:type="dxa" w:w="1704"/>
          </w:tcPr>
          <w:p>
            <w:r>
              <w:t>90.23</w:t>
            </w:r>
          </w:p>
        </w:tc>
        <w:tc>
          <w:tcPr>
            <w:tcW w:type="dxa" w:w="1704"/>
          </w:tcPr>
          <w:p>
            <w:r>
              <w:t>90.19</w:t>
            </w:r>
          </w:p>
        </w:tc>
        <w:tc>
          <w:tcPr>
            <w:tcW w:type="dxa" w:w="1704"/>
          </w:tcPr>
          <w:p>
            <w:r>
              <w:t>92.04</w:t>
            </w:r>
          </w:p>
        </w:tc>
        <w:tc>
          <w:tcPr>
            <w:tcW w:type="dxa" w:w="1704"/>
          </w:tcPr>
          <w:p>
            <w:r>
              <w:t>85.95</w:t>
            </w:r>
          </w:p>
        </w:tc>
        <w:tc>
          <w:tcPr>
            <w:tcW w:type="dxa" w:w="1704"/>
          </w:tcPr>
          <w:p>
            <w:r>
              <w:t>97.62</w:t>
            </w:r>
          </w:p>
        </w:tc>
      </w:tr>
      <w:tr>
        <w:tc>
          <w:tcPr>
            <w:tcW w:type="dxa" w:w="1704"/>
          </w:tcPr>
          <w:p>
            <w:r>
              <w:t>Full PlasmaXAI</w:t>
            </w:r>
          </w:p>
        </w:tc>
        <w:tc>
          <w:tcPr>
            <w:tcW w:type="dxa" w:w="1704"/>
          </w:tcPr>
          <w:p>
            <w:r>
              <w:t>91.73</w:t>
            </w:r>
          </w:p>
        </w:tc>
        <w:tc>
          <w:tcPr>
            <w:tcW w:type="dxa" w:w="1704"/>
          </w:tcPr>
          <w:p>
            <w:r>
              <w:t>91.71</w:t>
            </w:r>
          </w:p>
        </w:tc>
        <w:tc>
          <w:tcPr>
            <w:tcW w:type="dxa" w:w="1704"/>
          </w:tcPr>
          <w:p>
            <w:r>
              <w:t>92.67</w:t>
            </w:r>
          </w:p>
        </w:tc>
        <w:tc>
          <w:tcPr>
            <w:tcW w:type="dxa" w:w="1704"/>
          </w:tcPr>
          <w:p>
            <w:r>
              <w:t>88.84</w:t>
            </w:r>
          </w:p>
        </w:tc>
        <w:tc>
          <w:tcPr>
            <w:tcW w:type="dxa" w:w="1704"/>
          </w:tcPr>
          <w:p>
            <w:r>
              <w:t>97.79</w:t>
            </w:r>
          </w:p>
        </w:tc>
      </w:tr>
    </w:tbl>
    <w:p>
      <w:pPr>
        <w:pStyle w:val="Heading1"/>
      </w:pPr>
      <w:r>
        <w:t>E. Figure and Diagram Atlas</w:t>
      </w:r>
    </w:p>
    <w:p>
      <w:pPr>
        <w:spacing w:after="140"/>
      </w:pPr>
      <w:r>
        <w:rPr>
          <w:b w:val="0"/>
        </w:rPr>
        <w:t>The images below are pulled from the actual saved research outputs. Each caption explains the role of the figure in the PlasmaXAI narrative, not just its filename.</w:t>
      </w:r>
    </w:p>
    <w:p>
      <w:pPr>
        <w:jc w:val="center"/>
      </w:pPr>
      <w:r>
        <w:drawing>
          <wp:inline xmlns:a="http://schemas.openxmlformats.org/drawingml/2006/main" xmlns:pic="http://schemas.openxmlformats.org/drawingml/2006/picture">
            <wp:extent cx="5486400" cy="2908897"/>
            <wp:docPr id="1" name="Picture 1"/>
            <wp:cNvGraphicFramePr>
              <a:graphicFrameLocks noChangeAspect="1"/>
            </wp:cNvGraphicFramePr>
            <a:graphic>
              <a:graphicData uri="http://schemas.openxmlformats.org/drawingml/2006/picture">
                <pic:pic>
                  <pic:nvPicPr>
                    <pic:cNvPr id="0" name="plasmaxai_fig13_framework_diagram.png"/>
                    <pic:cNvPicPr/>
                  </pic:nvPicPr>
                  <pic:blipFill>
                    <a:blip r:embed="rId9"/>
                    <a:stretch>
                      <a:fillRect/>
                    </a:stretch>
                  </pic:blipFill>
                  <pic:spPr>
                    <a:xfrm>
                      <a:off x="0" y="0"/>
                      <a:ext cx="5486400" cy="2908897"/>
                    </a:xfrm>
                    <a:prstGeom prst="rect"/>
                  </pic:spPr>
                </pic:pic>
              </a:graphicData>
            </a:graphic>
          </wp:inline>
        </w:drawing>
      </w:r>
    </w:p>
    <w:p>
      <w:pPr>
        <w:pStyle w:val="CaptionSmall"/>
        <w:jc w:val="center"/>
      </w:pPr>
      <w:r>
        <w:rPr>
          <w:b/>
        </w:rPr>
        <w:t>Framework Diagram</w:t>
      </w:r>
    </w:p>
    <w:p>
      <w:pPr>
        <w:spacing w:after="140"/>
      </w:pPr>
      <w:r>
        <w:rPr>
          <w:b w:val="0"/>
        </w:rPr>
        <w:t>This is the high-level architecture view of PlasmaXAI. It is the best single figure for showing how microscopy input, dual deep backbones, morphology features, counterfactual features, and the learned fusion/classification path are connected end to end.</w:t>
      </w:r>
    </w:p>
    <w:p>
      <w:pPr>
        <w:jc w:val="center"/>
      </w:pPr>
      <w:r>
        <w:drawing>
          <wp:inline xmlns:a="http://schemas.openxmlformats.org/drawingml/2006/main" xmlns:pic="http://schemas.openxmlformats.org/drawingml/2006/picture">
            <wp:extent cx="5486400" cy="1602185"/>
            <wp:docPr id="2" name="Picture 2"/>
            <wp:cNvGraphicFramePr>
              <a:graphicFrameLocks noChangeAspect="1"/>
            </wp:cNvGraphicFramePr>
            <a:graphic>
              <a:graphicData uri="http://schemas.openxmlformats.org/drawingml/2006/picture">
                <pic:pic>
                  <pic:nvPicPr>
                    <pic:cNvPr id="0" name="novel_fig8_training_curves.png"/>
                    <pic:cNvPicPr/>
                  </pic:nvPicPr>
                  <pic:blipFill>
                    <a:blip r:embed="rId10"/>
                    <a:stretch>
                      <a:fillRect/>
                    </a:stretch>
                  </pic:blipFill>
                  <pic:spPr>
                    <a:xfrm>
                      <a:off x="0" y="0"/>
                      <a:ext cx="5486400" cy="1602185"/>
                    </a:xfrm>
                    <a:prstGeom prst="rect"/>
                  </pic:spPr>
                </pic:pic>
              </a:graphicData>
            </a:graphic>
          </wp:inline>
        </w:drawing>
      </w:r>
    </w:p>
    <w:p>
      <w:pPr>
        <w:pStyle w:val="CaptionSmall"/>
        <w:jc w:val="center"/>
      </w:pPr>
      <w:r>
        <w:rPr>
          <w:b/>
        </w:rPr>
        <w:t>Training Curves</w:t>
      </w:r>
    </w:p>
    <w:p>
      <w:pPr>
        <w:spacing w:after="140"/>
      </w:pPr>
      <w:r>
        <w:rPr>
          <w:b w:val="0"/>
        </w:rPr>
        <w:t>These curves show the optimization behavior of the novel fusion framework, including the evolution of loss, accuracy, and clinically important recall-oriented behavior across epochs.</w:t>
      </w:r>
    </w:p>
    <w:p>
      <w:pPr>
        <w:jc w:val="center"/>
      </w:pPr>
      <w:r>
        <w:drawing>
          <wp:inline xmlns:a="http://schemas.openxmlformats.org/drawingml/2006/main" xmlns:pic="http://schemas.openxmlformats.org/drawingml/2006/picture">
            <wp:extent cx="5486400" cy="2320460"/>
            <wp:docPr id="3" name="Picture 3"/>
            <wp:cNvGraphicFramePr>
              <a:graphicFrameLocks noChangeAspect="1"/>
            </wp:cNvGraphicFramePr>
            <a:graphic>
              <a:graphicData uri="http://schemas.openxmlformats.org/drawingml/2006/picture">
                <pic:pic>
                  <pic:nvPicPr>
                    <pic:cNvPr id="0" name="plasmaxai_fig14_confusion_roc.png"/>
                    <pic:cNvPicPr/>
                  </pic:nvPicPr>
                  <pic:blipFill>
                    <a:blip r:embed="rId11"/>
                    <a:stretch>
                      <a:fillRect/>
                    </a:stretch>
                  </pic:blipFill>
                  <pic:spPr>
                    <a:xfrm>
                      <a:off x="0" y="0"/>
                      <a:ext cx="5486400" cy="2320460"/>
                    </a:xfrm>
                    <a:prstGeom prst="rect"/>
                  </pic:spPr>
                </pic:pic>
              </a:graphicData>
            </a:graphic>
          </wp:inline>
        </w:drawing>
      </w:r>
    </w:p>
    <w:p>
      <w:pPr>
        <w:pStyle w:val="CaptionSmall"/>
        <w:jc w:val="center"/>
      </w:pPr>
      <w:r>
        <w:rPr>
          <w:b/>
        </w:rPr>
        <w:t>Confusion and ROC</w:t>
      </w:r>
    </w:p>
    <w:p>
      <w:pPr>
        <w:spacing w:after="140"/>
      </w:pPr>
      <w:r>
        <w:rPr>
          <w:b w:val="0"/>
        </w:rPr>
        <w:t>This figure ties threshold-level performance to threshold-independent ranking quality. The confusion panel grounds the error pattern, and the ROC panel explains why the framework remains separable across operating points.</w:t>
      </w:r>
    </w:p>
    <w:p>
      <w:pPr>
        <w:jc w:val="center"/>
      </w:pPr>
      <w:r>
        <w:drawing>
          <wp:inline xmlns:a="http://schemas.openxmlformats.org/drawingml/2006/main" xmlns:pic="http://schemas.openxmlformats.org/drawingml/2006/picture">
            <wp:extent cx="5486400" cy="3662563"/>
            <wp:docPr id="4" name="Picture 4"/>
            <wp:cNvGraphicFramePr>
              <a:graphicFrameLocks noChangeAspect="1"/>
            </wp:cNvGraphicFramePr>
            <a:graphic>
              <a:graphicData uri="http://schemas.openxmlformats.org/drawingml/2006/picture">
                <pic:pic>
                  <pic:nvPicPr>
                    <pic:cNvPr id="0" name="plasmaxai_fig9_ablation_study.png"/>
                    <pic:cNvPicPr/>
                  </pic:nvPicPr>
                  <pic:blipFill>
                    <a:blip r:embed="rId12"/>
                    <a:stretch>
                      <a:fillRect/>
                    </a:stretch>
                  </pic:blipFill>
                  <pic:spPr>
                    <a:xfrm>
                      <a:off x="0" y="0"/>
                      <a:ext cx="5486400" cy="3662563"/>
                    </a:xfrm>
                    <a:prstGeom prst="rect"/>
                  </pic:spPr>
                </pic:pic>
              </a:graphicData>
            </a:graphic>
          </wp:inline>
        </w:drawing>
      </w:r>
    </w:p>
    <w:p>
      <w:pPr>
        <w:pStyle w:val="CaptionSmall"/>
        <w:jc w:val="center"/>
      </w:pPr>
      <w:r>
        <w:rPr>
          <w:b/>
        </w:rPr>
        <w:t>Ablation Study</w:t>
      </w:r>
    </w:p>
    <w:p>
      <w:pPr>
        <w:spacing w:after="140"/>
      </w:pPr>
      <w:r>
        <w:rPr>
          <w:b w:val="0"/>
        </w:rPr>
        <w:t>This is one of the most important research figures because it demonstrates that removing the counterfactual path or morphology branch changes the performance profile. It supports the novelty claim experimentally.</w:t>
      </w:r>
    </w:p>
    <w:p>
      <w:pPr>
        <w:jc w:val="center"/>
      </w:pPr>
      <w:r>
        <w:drawing>
          <wp:inline xmlns:a="http://schemas.openxmlformats.org/drawingml/2006/main" xmlns:pic="http://schemas.openxmlformats.org/drawingml/2006/picture">
            <wp:extent cx="5486400" cy="2163616"/>
            <wp:docPr id="5" name="Picture 5"/>
            <wp:cNvGraphicFramePr>
              <a:graphicFrameLocks noChangeAspect="1"/>
            </wp:cNvGraphicFramePr>
            <a:graphic>
              <a:graphicData uri="http://schemas.openxmlformats.org/drawingml/2006/picture">
                <pic:pic>
                  <pic:nvPicPr>
                    <pic:cNvPr id="0" name="novel_fig4_gates_counterfactuals.png"/>
                    <pic:cNvPicPr/>
                  </pic:nvPicPr>
                  <pic:blipFill>
                    <a:blip r:embed="rId13"/>
                    <a:stretch>
                      <a:fillRect/>
                    </a:stretch>
                  </pic:blipFill>
                  <pic:spPr>
                    <a:xfrm>
                      <a:off x="0" y="0"/>
                      <a:ext cx="5486400" cy="2163616"/>
                    </a:xfrm>
                    <a:prstGeom prst="rect"/>
                  </pic:spPr>
                </pic:pic>
              </a:graphicData>
            </a:graphic>
          </wp:inline>
        </w:drawing>
      </w:r>
    </w:p>
    <w:p>
      <w:pPr>
        <w:pStyle w:val="CaptionSmall"/>
        <w:jc w:val="center"/>
      </w:pPr>
      <w:r>
        <w:rPr>
          <w:b/>
        </w:rPr>
        <w:t>Gate and Counterfactual Analysis</w:t>
      </w:r>
    </w:p>
    <w:p>
      <w:pPr>
        <w:spacing w:after="140"/>
      </w:pPr>
      <w:r>
        <w:rPr>
          <w:b w:val="0"/>
        </w:rPr>
        <w:t>This figure visualizes how the modality gates and counterfactual reasoning interact. It helps explain why the model is not just averaging branches blindly.</w:t>
      </w:r>
    </w:p>
    <w:p>
      <w:pPr>
        <w:jc w:val="center"/>
      </w:pPr>
      <w:r>
        <w:drawing>
          <wp:inline xmlns:a="http://schemas.openxmlformats.org/drawingml/2006/main" xmlns:pic="http://schemas.openxmlformats.org/drawingml/2006/picture">
            <wp:extent cx="5486400" cy="3450049"/>
            <wp:docPr id="6" name="Picture 6"/>
            <wp:cNvGraphicFramePr>
              <a:graphicFrameLocks noChangeAspect="1"/>
            </wp:cNvGraphicFramePr>
            <a:graphic>
              <a:graphicData uri="http://schemas.openxmlformats.org/drawingml/2006/picture">
                <pic:pic>
                  <pic:nvPicPr>
                    <pic:cNvPr id="0" name="novel_fig11_patient_signature_heatmap.png"/>
                    <pic:cNvPicPr/>
                  </pic:nvPicPr>
                  <pic:blipFill>
                    <a:blip r:embed="rId14"/>
                    <a:stretch>
                      <a:fillRect/>
                    </a:stretch>
                  </pic:blipFill>
                  <pic:spPr>
                    <a:xfrm>
                      <a:off x="0" y="0"/>
                      <a:ext cx="5486400" cy="3450049"/>
                    </a:xfrm>
                    <a:prstGeom prst="rect"/>
                  </pic:spPr>
                </pic:pic>
              </a:graphicData>
            </a:graphic>
          </wp:inline>
        </w:drawing>
      </w:r>
    </w:p>
    <w:p>
      <w:pPr>
        <w:pStyle w:val="CaptionSmall"/>
        <w:jc w:val="center"/>
      </w:pPr>
      <w:r>
        <w:rPr>
          <w:b/>
        </w:rPr>
        <w:t>Patient Signature Heatmap</w:t>
      </w:r>
    </w:p>
    <w:p>
      <w:pPr>
        <w:spacing w:after="140"/>
      </w:pPr>
      <w:r>
        <w:rPr>
          <w:b w:val="0"/>
        </w:rPr>
        <w:t>This figure summarizes patient-level consistency and cluster structure from the saved patient-level analysis. It moves the work beyond isolated cell classification.</w:t>
      </w:r>
    </w:p>
    <w:p>
      <w:pPr>
        <w:jc w:val="center"/>
      </w:pPr>
      <w:r>
        <w:drawing>
          <wp:inline xmlns:a="http://schemas.openxmlformats.org/drawingml/2006/main" xmlns:pic="http://schemas.openxmlformats.org/drawingml/2006/picture">
            <wp:extent cx="5486400" cy="2381889"/>
            <wp:docPr id="7" name="Picture 7"/>
            <wp:cNvGraphicFramePr>
              <a:graphicFrameLocks noChangeAspect="1"/>
            </wp:cNvGraphicFramePr>
            <a:graphic>
              <a:graphicData uri="http://schemas.openxmlformats.org/drawingml/2006/picture">
                <pic:pic>
                  <pic:nvPicPr>
                    <pic:cNvPr id="0" name="fig6_counterfactual_analysis.png"/>
                    <pic:cNvPicPr/>
                  </pic:nvPicPr>
                  <pic:blipFill>
                    <a:blip r:embed="rId15"/>
                    <a:stretch>
                      <a:fillRect/>
                    </a:stretch>
                  </pic:blipFill>
                  <pic:spPr>
                    <a:xfrm>
                      <a:off x="0" y="0"/>
                      <a:ext cx="5486400" cy="2381889"/>
                    </a:xfrm>
                    <a:prstGeom prst="rect"/>
                  </pic:spPr>
                </pic:pic>
              </a:graphicData>
            </a:graphic>
          </wp:inline>
        </w:drawing>
      </w:r>
    </w:p>
    <w:p>
      <w:pPr>
        <w:pStyle w:val="CaptionSmall"/>
        <w:jc w:val="center"/>
      </w:pPr>
      <w:r>
        <w:rPr>
          <w:b/>
        </w:rPr>
        <w:t>Notebook-Stage Counterfactual Analysis</w:t>
      </w:r>
    </w:p>
    <w:p>
      <w:pPr>
        <w:spacing w:after="140"/>
      </w:pPr>
      <w:r>
        <w:rPr>
          <w:b w:val="0"/>
        </w:rPr>
        <w:t>This is historically important because it shows the early explainability direction before counterfactual reasoning became part of the internal model path.</w:t>
      </w:r>
    </w:p>
    <w:p>
      <w:pPr>
        <w:jc w:val="center"/>
      </w:pPr>
      <w:r>
        <w:drawing>
          <wp:inline xmlns:a="http://schemas.openxmlformats.org/drawingml/2006/main" xmlns:pic="http://schemas.openxmlformats.org/drawingml/2006/picture">
            <wp:extent cx="5486400" cy="3107903"/>
            <wp:docPr id="8" name="Picture 8"/>
            <wp:cNvGraphicFramePr>
              <a:graphicFrameLocks noChangeAspect="1"/>
            </wp:cNvGraphicFramePr>
            <a:graphic>
              <a:graphicData uri="http://schemas.openxmlformats.org/drawingml/2006/picture">
                <pic:pic>
                  <pic:nvPicPr>
                    <pic:cNvPr id="0" name="optimized_fig1_framework_overview.png"/>
                    <pic:cNvPicPr/>
                  </pic:nvPicPr>
                  <pic:blipFill>
                    <a:blip r:embed="rId16"/>
                    <a:stretch>
                      <a:fillRect/>
                    </a:stretch>
                  </pic:blipFill>
                  <pic:spPr>
                    <a:xfrm>
                      <a:off x="0" y="0"/>
                      <a:ext cx="5486400" cy="3107903"/>
                    </a:xfrm>
                    <a:prstGeom prst="rect"/>
                  </pic:spPr>
                </pic:pic>
              </a:graphicData>
            </a:graphic>
          </wp:inline>
        </w:drawing>
      </w:r>
    </w:p>
    <w:p>
      <w:pPr>
        <w:pStyle w:val="CaptionSmall"/>
        <w:jc w:val="center"/>
      </w:pPr>
      <w:r>
        <w:rPr>
          <w:b/>
        </w:rPr>
        <w:t>Optimization-Stage Framework Overview</w:t>
      </w:r>
    </w:p>
    <w:p>
      <w:pPr>
        <w:spacing w:after="140"/>
      </w:pPr>
      <w:r>
        <w:rPr>
          <w:b w:val="0"/>
        </w:rPr>
        <w:t>This figure documents the stage between the notebook baseline and the final novel architecture. It helps show how the project matured methodologically.</w:t>
      </w:r>
    </w:p>
    <w:p>
      <w:r>
        <w:br w:type="page"/>
      </w:r>
    </w:p>
    <w:p>
      <w:pPr>
        <w:pStyle w:val="Heading1"/>
      </w:pPr>
      <w:r>
        <w:t>F. Full Ultra-Detailed Research Record</w:t>
      </w:r>
    </w:p>
    <w:p>
      <w:pPr>
        <w:spacing w:after="140"/>
      </w:pPr>
      <w:r>
        <w:rPr>
          <w:b w:val="0"/>
        </w:rPr>
        <w:t>For completeness, the complete long-form research record is reproduced below in DOCX form. This section preserves the full narrative of the project, including motivation, architecture evolution, results, packaging, deployment notes, and limitations.</w:t>
      </w:r>
    </w:p>
    <w:p>
      <w:pPr>
        <w:spacing w:after="140"/>
      </w:pPr>
      <w:r>
        <w:rPr>
          <w:b w:val="0"/>
        </w:rPr>
        <w:t>PlasmaXAI Ultra-Detailed Full Research and Deployment Record</w:t>
      </w:r>
    </w:p>
    <w:p>
      <w:pPr>
        <w:pStyle w:val="Heading2"/>
      </w:pPr>
      <w:r>
        <w:t>Document intent</w:t>
      </w:r>
    </w:p>
    <w:p>
      <w:pPr>
        <w:spacing w:after="140"/>
      </w:pPr>
      <w:r>
        <w:rPr>
          <w:b w:val="0"/>
        </w:rPr>
        <w:t>This file is the longest and most technically detailed written record of the PlasmaXAI project. It is intentionally more exhaustive than the short competition brief and more explanatory than the standard master dossier. It documents the scientific background, problem definition, research objectives, dataset usage, architecture evolution, layer connectivity, training logic, threshold selection, results generation, robustness studies, patient-level analysis, website translation, deployment readiness, GitHub packaging, and limitations.</w:t>
      </w:r>
    </w:p>
    <w:p>
      <w:pPr>
        <w:spacing w:after="140"/>
      </w:pPr>
      <w:r>
        <w:rPr>
          <w:b w:val="0"/>
        </w:rPr>
        <w:t>The purpose of this record is to answer, in one place:</w:t>
      </w:r>
    </w:p>
    <w:p>
      <w:pPr>
        <w:pStyle w:val="ListBullet"/>
        <w:spacing w:after="40"/>
      </w:pPr>
      <w:r>
        <w:t>what PlasmaXAI is</w:t>
      </w:r>
    </w:p>
    <w:p>
      <w:pPr>
        <w:pStyle w:val="ListBullet"/>
        <w:spacing w:after="40"/>
      </w:pPr>
      <w:r>
        <w:t>why it was built</w:t>
      </w:r>
    </w:p>
    <w:p>
      <w:pPr>
        <w:pStyle w:val="ListBullet"/>
        <w:spacing w:after="40"/>
      </w:pPr>
      <w:r>
        <w:t>how it was built</w:t>
      </w:r>
    </w:p>
    <w:p>
      <w:pPr>
        <w:pStyle w:val="ListBullet"/>
        <w:spacing w:after="40"/>
      </w:pPr>
      <w:r>
        <w:t>what each stage achieved</w:t>
      </w:r>
    </w:p>
    <w:p>
      <w:pPr>
        <w:pStyle w:val="ListBullet"/>
        <w:spacing w:after="40"/>
      </w:pPr>
      <w:r>
        <w:t>what is genuinely novel</w:t>
      </w:r>
    </w:p>
    <w:p>
      <w:pPr>
        <w:pStyle w:val="ListBullet"/>
        <w:spacing w:after="40"/>
      </w:pPr>
      <w:r>
        <w:t>what hardware/software were used</w:t>
      </w:r>
    </w:p>
    <w:p>
      <w:pPr>
        <w:pStyle w:val="ListBullet"/>
        <w:spacing w:after="40"/>
      </w:pPr>
      <w:r>
        <w:t>how the final metrics were produced</w:t>
      </w:r>
    </w:p>
    <w:p>
      <w:pPr>
        <w:pStyle w:val="ListBullet"/>
        <w:spacing w:after="40"/>
      </w:pPr>
      <w:r>
        <w:t>what was pushed to GitHub</w:t>
      </w:r>
    </w:p>
    <w:p>
      <w:pPr>
        <w:pStyle w:val="ListBullet"/>
        <w:spacing w:after="40"/>
      </w:pPr>
      <w:r>
        <w:t>what is deployable today</w:t>
      </w:r>
    </w:p>
    <w:p>
      <w:pPr>
        <w:pStyle w:val="Heading2"/>
      </w:pPr>
      <w:r>
        <w:t>1 Project identity, final name, and scope</w:t>
      </w:r>
    </w:p>
    <w:p>
      <w:pPr>
        <w:spacing w:after="140"/>
      </w:pPr>
      <w:r>
        <w:rPr>
          <w:b w:val="0"/>
        </w:rPr>
        <w:t>Final preferred name: PlasmaXAI</w:t>
      </w:r>
    </w:p>
    <w:p>
      <w:pPr>
        <w:spacing w:after="140"/>
      </w:pPr>
      <w:r>
        <w:rPr>
          <w:b w:val="0"/>
        </w:rPr>
        <w:t>Earlier names used during development:</w:t>
      </w:r>
    </w:p>
    <w:p>
      <w:pPr>
        <w:pStyle w:val="ListBullet"/>
        <w:spacing w:after="40"/>
      </w:pPr>
      <w:r>
        <w:t>PlasmaXNet</w:t>
      </w:r>
    </w:p>
    <w:p>
      <w:pPr>
        <w:pStyle w:val="ListBullet"/>
        <w:spacing w:after="40"/>
      </w:pPr>
      <w:r>
        <w:t>PLASMAXNET</w:t>
      </w:r>
    </w:p>
    <w:p>
      <w:pPr>
        <w:spacing w:after="140"/>
      </w:pPr>
      <w:r>
        <w:rPr>
          <w:b w:val="0"/>
        </w:rPr>
        <w:t>Final identity: PlasmaXAI is a counterfactual-guided explainable AI framework for malignant plasma-cell recognition in multiple myeloma microscopy images. It is not only a classifier. It is a research-and-translation package consisting of:</w:t>
      </w:r>
    </w:p>
    <w:p>
      <w:pPr>
        <w:pStyle w:val="ListBullet"/>
        <w:spacing w:after="40"/>
      </w:pPr>
      <w:r>
        <w:t>a notebook baseline</w:t>
      </w:r>
    </w:p>
    <w:p>
      <w:pPr>
        <w:pStyle w:val="ListBullet"/>
        <w:spacing w:after="40"/>
      </w:pPr>
      <w:r>
        <w:t>an optimization-stage benchmark system</w:t>
      </w:r>
    </w:p>
    <w:p>
      <w:pPr>
        <w:pStyle w:val="ListBullet"/>
        <w:spacing w:after="40"/>
      </w:pPr>
      <w:r>
        <w:t>a final learned fusion framework</w:t>
      </w:r>
    </w:p>
    <w:p>
      <w:pPr>
        <w:pStyle w:val="ListBullet"/>
        <w:spacing w:after="40"/>
      </w:pPr>
      <w:r>
        <w:t>explainability assets</w:t>
      </w:r>
    </w:p>
    <w:p>
      <w:pPr>
        <w:pStyle w:val="ListBullet"/>
        <w:spacing w:after="40"/>
      </w:pPr>
      <w:r>
        <w:t>patient-level exploratory analyses</w:t>
      </w:r>
    </w:p>
    <w:p>
      <w:pPr>
        <w:pStyle w:val="ListBullet"/>
        <w:spacing w:after="40"/>
      </w:pPr>
      <w:r>
        <w:t>paper and diagram materials</w:t>
      </w:r>
    </w:p>
    <w:p>
      <w:pPr>
        <w:pStyle w:val="ListBullet"/>
        <w:spacing w:after="40"/>
      </w:pPr>
      <w:r>
        <w:t>a doctor-facing website</w:t>
      </w:r>
    </w:p>
    <w:p>
      <w:pPr>
        <w:pStyle w:val="ListBullet"/>
        <w:spacing w:after="40"/>
      </w:pPr>
      <w:r>
        <w:t>a separate inference service</w:t>
      </w:r>
    </w:p>
    <w:p>
      <w:pPr>
        <w:pStyle w:val="Heading2"/>
      </w:pPr>
      <w:r>
        <w:t>2 Clinical and scientific background</w:t>
      </w:r>
    </w:p>
    <w:p>
      <w:pPr>
        <w:spacing w:after="140"/>
      </w:pPr>
      <w:r>
        <w:rPr>
          <w:b w:val="0"/>
        </w:rPr>
        <w:t>Multiple myeloma is a hematologic malignancy driven by abnormal plasma-cell proliferation. Morphologic review still matters because plasma-cell appearance, burden, and organization remain relevant during diagnosis, disease monitoring, and treatment-oriented interpretation.</w:t>
      </w:r>
    </w:p>
    <w:p>
      <w:pPr>
        <w:spacing w:after="140"/>
      </w:pPr>
      <w:r>
        <w:rPr>
          <w:b w:val="0"/>
        </w:rPr>
        <w:t>Why this problem matters:</w:t>
      </w:r>
    </w:p>
    <w:p>
      <w:pPr>
        <w:pStyle w:val="ListBullet"/>
        <w:spacing w:after="40"/>
      </w:pPr>
      <w:r>
        <w:t>manual review is labor intensive</w:t>
      </w:r>
    </w:p>
    <w:p>
      <w:pPr>
        <w:pStyle w:val="ListBullet"/>
        <w:spacing w:after="40"/>
      </w:pPr>
      <w:r>
        <w:t>interpretation depends heavily on expertise</w:t>
      </w:r>
    </w:p>
    <w:p>
      <w:pPr>
        <w:pStyle w:val="ListBullet"/>
        <w:spacing w:after="40"/>
      </w:pPr>
      <w:r>
        <w:t>stain variability and morphology variation complicate consistency</w:t>
      </w:r>
    </w:p>
    <w:p>
      <w:pPr>
        <w:pStyle w:val="ListBullet"/>
        <w:spacing w:after="40"/>
      </w:pPr>
      <w:r>
        <w:t>large-scale screening is difficult to scale manually</w:t>
      </w:r>
    </w:p>
    <w:p>
      <w:pPr>
        <w:pStyle w:val="ListBullet"/>
        <w:spacing w:after="40"/>
      </w:pPr>
      <w:r>
        <w:t>many AI systems optimize accuracy but do not help doctors understand the</w:t>
      </w:r>
    </w:p>
    <w:p>
      <w:pPr>
        <w:spacing w:after="140"/>
      </w:pPr>
      <w:r>
        <w:rPr>
          <w:b w:val="0"/>
        </w:rPr>
        <w:t>output</w:t>
      </w:r>
    </w:p>
    <w:p>
      <w:pPr>
        <w:spacing w:after="140"/>
      </w:pPr>
      <w:r>
        <w:rPr>
          <w:b w:val="0"/>
        </w:rPr>
        <w:t>PlasmaXAI was designed to address that gap. The project tries to answer: "Can an explainable, high-performing plasma-cell recognition system be built that improves diagnostic support while presenting evidence in a form useful to doctors rather than only to ML developers?"</w:t>
      </w:r>
    </w:p>
    <w:p>
      <w:pPr>
        <w:pStyle w:val="Heading2"/>
      </w:pPr>
      <w:r>
        <w:t>3 Research objectives</w:t>
      </w:r>
    </w:p>
    <w:p>
      <w:pPr>
        <w:spacing w:after="140"/>
      </w:pPr>
      <w:r>
        <w:rPr>
          <w:b w:val="0"/>
        </w:rPr>
        <w:t>Primary objectives:</w:t>
      </w:r>
    </w:p>
    <w:p>
      <w:pPr>
        <w:pStyle w:val="Heading2"/>
      </w:pPr>
      <w:r>
        <w:t>1 Build a strong malignant plasma-cell recognition framework on PCMMD.</w:t>
      </w:r>
    </w:p>
    <w:p>
      <w:pPr>
        <w:pStyle w:val="Heading2"/>
      </w:pPr>
      <w:r>
        <w:t>2 Improve over the earlier notebook-stage baseline.</w:t>
      </w:r>
    </w:p>
    <w:p>
      <w:pPr>
        <w:pStyle w:val="Heading2"/>
      </w:pPr>
      <w:r>
        <w:t>3 Compare against deep and morphology-based baselines.</w:t>
      </w:r>
    </w:p>
    <w:p>
      <w:pPr>
        <w:pStyle w:val="Heading2"/>
      </w:pPr>
      <w:r>
        <w:t>4 Move explainability into the decision pathway itself.</w:t>
      </w:r>
    </w:p>
    <w:p>
      <w:pPr>
        <w:pStyle w:val="Heading2"/>
      </w:pPr>
      <w:r>
        <w:t>5 Add patient-level consistency analysis.</w:t>
      </w:r>
    </w:p>
    <w:p>
      <w:pPr>
        <w:pStyle w:val="Heading2"/>
      </w:pPr>
      <w:r>
        <w:t>6 Package the work into paper-ready figures, reports, and a doctor-facing</w:t>
      </w:r>
    </w:p>
    <w:p>
      <w:pPr>
        <w:spacing w:after="140"/>
      </w:pPr>
      <w:r>
        <w:rPr>
          <w:b w:val="0"/>
        </w:rPr>
        <w:t>website.</w:t>
      </w:r>
    </w:p>
    <w:p>
      <w:pPr>
        <w:spacing w:after="140"/>
      </w:pPr>
      <w:r>
        <w:rPr>
          <w:b w:val="0"/>
        </w:rPr>
        <w:t>Secondary objectives:</w:t>
      </w:r>
    </w:p>
    <w:p>
      <w:pPr>
        <w:pStyle w:val="ListBullet"/>
        <w:spacing w:after="40"/>
      </w:pPr>
      <w:r>
        <w:t>improve plasma precision and recall simultaneously</w:t>
      </w:r>
    </w:p>
    <w:p>
      <w:pPr>
        <w:pStyle w:val="ListBullet"/>
        <w:spacing w:after="40"/>
      </w:pPr>
      <w:r>
        <w:t>support claims with ablation and bootstrap evidence</w:t>
      </w:r>
    </w:p>
    <w:p>
      <w:pPr>
        <w:pStyle w:val="ListBullet"/>
        <w:spacing w:after="40"/>
      </w:pPr>
      <w:r>
        <w:t>package the work for competition judging and deployment presentation</w:t>
      </w:r>
    </w:p>
    <w:p>
      <w:pPr>
        <w:pStyle w:val="Heading2"/>
      </w:pPr>
      <w:r>
        <w:t>4 Main project locations</w:t>
      </w:r>
    </w:p>
    <w:p>
      <w:pPr>
        <w:spacing w:after="140"/>
      </w:pPr>
      <w:r>
        <w:rPr>
          <w:b w:val="0"/>
        </w:rPr>
        <w:t>Root workspace: F:\BUET plasma</w:t>
      </w:r>
    </w:p>
    <w:p>
      <w:pPr>
        <w:spacing w:after="140"/>
      </w:pPr>
      <w:r>
        <w:rPr>
          <w:b w:val="0"/>
        </w:rPr>
        <w:t>Main notebook: F:\BUET plasma\research\notebooks\PlasmaXAI.ipynb</w:t>
      </w:r>
    </w:p>
    <w:p>
      <w:pPr>
        <w:spacing w:after="140"/>
      </w:pPr>
      <w:r>
        <w:rPr>
          <w:b w:val="0"/>
        </w:rPr>
        <w:t>Optimization script: F:\BUET plasma\research\scripts\optimize_plasmaxai.py</w:t>
      </w:r>
    </w:p>
    <w:p>
      <w:pPr>
        <w:spacing w:after="140"/>
      </w:pPr>
      <w:r>
        <w:rPr>
          <w:b w:val="0"/>
        </w:rPr>
        <w:t>Final novel framework: F:\BUET plasma\research\scripts\novel_plasmaxai_pipeline.py</w:t>
      </w:r>
    </w:p>
    <w:p>
      <w:pPr>
        <w:spacing w:after="140"/>
      </w:pPr>
      <w:r>
        <w:rPr>
          <w:b w:val="0"/>
        </w:rPr>
        <w:t>Website: F:\BUET plasma\apps\web</w:t>
      </w:r>
    </w:p>
    <w:p>
      <w:pPr>
        <w:spacing w:after="140"/>
      </w:pPr>
      <w:r>
        <w:rPr>
          <w:b w:val="0"/>
        </w:rPr>
        <w:t>Inference service: F:\BUET plasma\apps\inference</w:t>
      </w:r>
    </w:p>
    <w:p>
      <w:pPr>
        <w:spacing w:after="140"/>
      </w:pPr>
      <w:r>
        <w:rPr>
          <w:b w:val="0"/>
        </w:rPr>
        <w:t>Research package: F:\BUET plasma\research\package</w:t>
      </w:r>
    </w:p>
    <w:p>
      <w:pPr>
        <w:pStyle w:val="Heading2"/>
      </w:pPr>
      <w:r>
        <w:t>5 Hardware and software environment</w:t>
      </w:r>
    </w:p>
    <w:p>
      <w:pPr>
        <w:spacing w:after="140"/>
      </w:pPr>
      <w:r>
        <w:rPr>
          <w:b w:val="0"/>
        </w:rPr>
        <w:t>Verified GPU from `nvidia-smi`:</w:t>
      </w:r>
    </w:p>
    <w:p>
      <w:pPr>
        <w:pStyle w:val="ListBullet"/>
        <w:spacing w:after="40"/>
      </w:pPr>
      <w:r>
        <w:t>NVIDIA GeForce RTX 3060</w:t>
      </w:r>
    </w:p>
    <w:p>
      <w:pPr>
        <w:pStyle w:val="ListBullet"/>
        <w:spacing w:after="40"/>
      </w:pPr>
      <w:r>
        <w:t>12288 MiB VRAM</w:t>
      </w:r>
    </w:p>
    <w:p>
      <w:pPr>
        <w:pStyle w:val="ListBullet"/>
        <w:spacing w:after="40"/>
      </w:pPr>
      <w:r>
        <w:t>Driver version 591.86</w:t>
      </w:r>
    </w:p>
    <w:p>
      <w:pPr>
        <w:pStyle w:val="ListBullet"/>
        <w:spacing w:after="40"/>
      </w:pPr>
      <w:r>
        <w:t>CUDA version 13.1</w:t>
      </w:r>
    </w:p>
    <w:p>
      <w:pPr>
        <w:spacing w:after="140"/>
      </w:pPr>
      <w:r>
        <w:rPr>
          <w:b w:val="0"/>
        </w:rPr>
        <w:t>This matters because the final novel summary explicitly reports device = CUDA.</w:t>
      </w:r>
    </w:p>
    <w:p>
      <w:pPr>
        <w:spacing w:after="140"/>
      </w:pPr>
      <w:r>
        <w:rPr>
          <w:b w:val="0"/>
        </w:rPr>
        <w:t>Python version verified in the local environment:</w:t>
      </w:r>
    </w:p>
    <w:p>
      <w:pPr>
        <w:pStyle w:val="ListBullet"/>
        <w:spacing w:after="40"/>
      </w:pPr>
      <w:r>
        <w:t>Python 3.13.2</w:t>
      </w:r>
    </w:p>
    <w:p>
      <w:pPr>
        <w:spacing w:after="140"/>
      </w:pPr>
      <w:r>
        <w:rPr>
          <w:b w:val="0"/>
        </w:rPr>
        <w:t>Relevant software used across the project:</w:t>
      </w:r>
    </w:p>
    <w:p>
      <w:pPr>
        <w:pStyle w:val="ListBullet"/>
        <w:spacing w:after="40"/>
      </w:pPr>
      <w:r>
        <w:t>PyTorch</w:t>
      </w:r>
    </w:p>
    <w:p>
      <w:pPr>
        <w:pStyle w:val="ListBullet"/>
        <w:spacing w:after="40"/>
      </w:pPr>
      <w:r>
        <w:t>torchvision</w:t>
      </w:r>
    </w:p>
    <w:p>
      <w:pPr>
        <w:pStyle w:val="ListBullet"/>
        <w:spacing w:after="40"/>
      </w:pPr>
      <w:r>
        <w:t>timm</w:t>
      </w:r>
    </w:p>
    <w:p>
      <w:pPr>
        <w:pStyle w:val="ListBullet"/>
        <w:spacing w:after="40"/>
      </w:pPr>
      <w:r>
        <w:t>OpenCV</w:t>
      </w:r>
    </w:p>
    <w:p>
      <w:pPr>
        <w:pStyle w:val="ListBullet"/>
        <w:spacing w:after="40"/>
      </w:pPr>
      <w:r>
        <w:t>scikit-learn</w:t>
      </w:r>
    </w:p>
    <w:p>
      <w:pPr>
        <w:pStyle w:val="ListBullet"/>
        <w:spacing w:after="40"/>
      </w:pPr>
      <w:r>
        <w:t>pandas</w:t>
      </w:r>
    </w:p>
    <w:p>
      <w:pPr>
        <w:pStyle w:val="ListBullet"/>
        <w:spacing w:after="40"/>
      </w:pPr>
      <w:r>
        <w:t>NumPy</w:t>
      </w:r>
    </w:p>
    <w:p>
      <w:pPr>
        <w:pStyle w:val="ListBullet"/>
        <w:spacing w:after="40"/>
      </w:pPr>
      <w:r>
        <w:t>FastAPI</w:t>
      </w:r>
    </w:p>
    <w:p>
      <w:pPr>
        <w:pStyle w:val="ListBullet"/>
        <w:spacing w:after="40"/>
      </w:pPr>
      <w:r>
        <w:t>Next.js 16.2.2</w:t>
      </w:r>
    </w:p>
    <w:p>
      <w:pPr>
        <w:pStyle w:val="ListBullet"/>
        <w:spacing w:after="40"/>
      </w:pPr>
      <w:r>
        <w:t>React 19.2.4</w:t>
      </w:r>
    </w:p>
    <w:p>
      <w:pPr>
        <w:pStyle w:val="ListBullet"/>
        <w:spacing w:after="40"/>
      </w:pPr>
      <w:r>
        <w:t>Bun package workflow for the website</w:t>
      </w:r>
    </w:p>
    <w:p>
      <w:pPr>
        <w:spacing w:after="140"/>
      </w:pPr>
      <w:r>
        <w:rPr>
          <w:b w:val="0"/>
        </w:rPr>
        <w:t>Important honesty note: CPU model and total RAM were not programmatically retrievable in the current Windows session because system info queries were access-restricted. This file therefore records the GPU and the validated software/runtime information without fabricating unavailable machine fields.</w:t>
      </w:r>
    </w:p>
    <w:p>
      <w:pPr>
        <w:pStyle w:val="Heading2"/>
      </w:pPr>
      <w:r>
        <w:t>6 Dataset and split strategy</w:t>
      </w:r>
    </w:p>
    <w:p>
      <w:pPr>
        <w:spacing w:after="140"/>
      </w:pPr>
      <w:r>
        <w:rPr>
          <w:b w:val="0"/>
        </w:rPr>
        <w:t>Primary dataset folder: F:\BUET plasma\data\raw\PCMMD Plasma Cells for Multiple Myeloma Diagnosis</w:t>
      </w:r>
    </w:p>
    <w:p>
      <w:pPr>
        <w:spacing w:after="140"/>
      </w:pPr>
      <w:r>
        <w:rPr>
          <w:b w:val="0"/>
        </w:rPr>
        <w:t>Local related folder: F:\BUET plasma\data\raw\PCMMD_LOCAL</w:t>
      </w:r>
    </w:p>
    <w:p>
      <w:pPr>
        <w:spacing w:after="140"/>
      </w:pPr>
      <w:r>
        <w:rPr>
          <w:b w:val="0"/>
        </w:rPr>
        <w:t>Usage:</w:t>
      </w:r>
    </w:p>
    <w:p>
      <w:pPr>
        <w:pStyle w:val="ListBullet"/>
        <w:spacing w:after="40"/>
      </w:pPr>
      <w:r>
        <w:t>PCMMD Set 1 for model development and benchmarking</w:t>
      </w:r>
    </w:p>
    <w:p>
      <w:pPr>
        <w:pStyle w:val="ListBullet"/>
        <w:spacing w:after="40"/>
      </w:pPr>
      <w:r>
        <w:t>PCMMD Set 2 for exploratory patient-level analysis</w:t>
      </w:r>
    </w:p>
    <w:p>
      <w:pPr>
        <w:spacing w:after="140"/>
      </w:pPr>
      <w:r>
        <w:rPr>
          <w:b w:val="0"/>
        </w:rPr>
        <w:t>Main split:</w:t>
      </w:r>
    </w:p>
    <w:p>
      <w:pPr>
        <w:pStyle w:val="ListBullet"/>
        <w:spacing w:after="40"/>
      </w:pPr>
      <w:r>
        <w:t>70% train</w:t>
      </w:r>
    </w:p>
    <w:p>
      <w:pPr>
        <w:pStyle w:val="ListBullet"/>
        <w:spacing w:after="40"/>
      </w:pPr>
      <w:r>
        <w:t>15% validation</w:t>
      </w:r>
    </w:p>
    <w:p>
      <w:pPr>
        <w:pStyle w:val="ListBullet"/>
        <w:spacing w:after="40"/>
      </w:pPr>
      <w:r>
        <w:t>15% test</w:t>
      </w:r>
    </w:p>
    <w:p>
      <w:pPr>
        <w:spacing w:after="140"/>
      </w:pPr>
      <w:r>
        <w:rPr>
          <w:b w:val="0"/>
        </w:rPr>
        <w:t>Observed counts:</w:t>
      </w:r>
    </w:p>
    <w:p>
      <w:pPr>
        <w:pStyle w:val="ListBullet"/>
        <w:spacing w:after="40"/>
      </w:pPr>
      <w:r>
        <w:t>Train: 2482</w:t>
      </w:r>
    </w:p>
    <w:p>
      <w:pPr>
        <w:pStyle w:val="ListBullet"/>
        <w:spacing w:after="40"/>
      </w:pPr>
      <w:r>
        <w:t>Validation: 532</w:t>
      </w:r>
    </w:p>
    <w:p>
      <w:pPr>
        <w:pStyle w:val="ListBullet"/>
        <w:spacing w:after="40"/>
      </w:pPr>
      <w:r>
        <w:t>Test: 532</w:t>
      </w:r>
    </w:p>
    <w:p>
      <w:pPr>
        <w:spacing w:after="140"/>
      </w:pPr>
      <w:r>
        <w:rPr>
          <w:b w:val="0"/>
        </w:rPr>
        <w:t>The split is stratified and implemented in `research/scripts/novel_plasmaxai_pipeline.py` through a two-stage `train_test_split` process:</w:t>
      </w:r>
    </w:p>
    <w:p>
      <w:pPr>
        <w:pStyle w:val="ListBullet"/>
        <w:spacing w:after="40"/>
      </w:pPr>
      <w:r>
        <w:t>first split 70/30</w:t>
      </w:r>
    </w:p>
    <w:p>
      <w:pPr>
        <w:pStyle w:val="ListBullet"/>
        <w:spacing w:after="40"/>
      </w:pPr>
      <w:r>
        <w:t>then split the remaining 30 into 15/15</w:t>
      </w:r>
    </w:p>
    <w:p>
      <w:pPr>
        <w:pStyle w:val="Heading2"/>
      </w:pPr>
      <w:r>
        <w:t>7 Phase 1: notebook-stage baseline</w:t>
      </w:r>
    </w:p>
    <w:p>
      <w:pPr>
        <w:spacing w:after="140"/>
      </w:pPr>
      <w:r>
        <w:rPr>
          <w:b w:val="0"/>
        </w:rPr>
        <w:t>Main notebook: F:\BUET plasma\research\notebooks\PlasmaXAI.ipynb</w:t>
      </w:r>
    </w:p>
    <w:p>
      <w:pPr>
        <w:spacing w:after="140"/>
      </w:pPr>
      <w:r>
        <w:rPr>
          <w:b w:val="0"/>
        </w:rPr>
        <w:t>Saved baseline checkpoint: F:\BUET plasma\artifacts\models\best_plasmaxai.pth</w:t>
      </w:r>
    </w:p>
    <w:p>
      <w:pPr>
        <w:spacing w:after="140"/>
      </w:pPr>
      <w:r>
        <w:rPr>
          <w:b w:val="0"/>
        </w:rPr>
        <w:t>Main notebook-stage result:</w:t>
      </w:r>
    </w:p>
    <w:p>
      <w:pPr>
        <w:pStyle w:val="ListBullet"/>
        <w:spacing w:after="40"/>
      </w:pPr>
      <w:r>
        <w:t>EfficientNet test accuracy: 85.34%</w:t>
      </w:r>
    </w:p>
    <w:p>
      <w:pPr>
        <w:pStyle w:val="ListBullet"/>
        <w:spacing w:after="40"/>
      </w:pPr>
      <w:r>
        <w:t>Plasma recall: 0.79</w:t>
      </w:r>
    </w:p>
    <w:p>
      <w:pPr>
        <w:spacing w:after="140"/>
      </w:pPr>
      <w:r>
        <w:rPr>
          <w:b w:val="0"/>
        </w:rPr>
        <w:t>Notebook benchmark section:</w:t>
      </w:r>
    </w:p>
    <w:p>
      <w:pPr>
        <w:pStyle w:val="ListBullet"/>
        <w:spacing w:after="40"/>
      </w:pPr>
      <w:r>
        <w:t>ResNet-50 benchmark accuracy: 91.92%</w:t>
      </w:r>
    </w:p>
    <w:p>
      <w:pPr>
        <w:pStyle w:val="ListBullet"/>
        <w:spacing w:after="40"/>
      </w:pPr>
      <w:r>
        <w:t>ResNet-50 AUC: 0.971</w:t>
      </w:r>
    </w:p>
    <w:p>
      <w:pPr>
        <w:pStyle w:val="ListBullet"/>
        <w:spacing w:after="40"/>
      </w:pPr>
      <w:r>
        <w:t>EfficientNet benchmark accuracy: 82.89%</w:t>
      </w:r>
    </w:p>
    <w:p>
      <w:pPr>
        <w:spacing w:after="140"/>
      </w:pPr>
      <w:r>
        <w:rPr>
          <w:b w:val="0"/>
        </w:rPr>
        <w:t>Counterfactual stage at notebook level:</w:t>
      </w:r>
    </w:p>
    <w:p>
      <w:pPr>
        <w:pStyle w:val="ListBullet"/>
        <w:spacing w:after="40"/>
      </w:pPr>
      <w:r>
        <w:t>DICE generated 60 counterfactual explanations</w:t>
      </w:r>
    </w:p>
    <w:p>
      <w:pPr>
        <w:pStyle w:val="ListBullet"/>
        <w:spacing w:after="40"/>
      </w:pPr>
      <w:r>
        <w:t>prominent drivers included NC Ratio, Nucleus Area, and Mean R</w:t>
      </w:r>
    </w:p>
    <w:p>
      <w:pPr>
        <w:spacing w:after="140"/>
      </w:pPr>
      <w:r>
        <w:rPr>
          <w:b w:val="0"/>
        </w:rPr>
        <w:t>Why phase 1 mattered: It established feasibility, an initial figure package, and benchmark context.</w:t>
      </w:r>
    </w:p>
    <w:p>
      <w:pPr>
        <w:spacing w:after="140"/>
      </w:pPr>
      <w:r>
        <w:rPr>
          <w:b w:val="0"/>
        </w:rPr>
        <w:t>Why phase 1 was not enough:</w:t>
      </w:r>
    </w:p>
    <w:p>
      <w:pPr>
        <w:pStyle w:val="ListBullet"/>
        <w:spacing w:after="40"/>
      </w:pPr>
      <w:r>
        <w:t>the main baseline was not strong enough for the intended sensitivity target</w:t>
      </w:r>
    </w:p>
    <w:p>
      <w:pPr>
        <w:pStyle w:val="ListBullet"/>
        <w:spacing w:after="40"/>
      </w:pPr>
      <w:r>
        <w:t>explainability existed but was not yet inside the model’s decision pathway</w:t>
      </w:r>
    </w:p>
    <w:p>
      <w:pPr>
        <w:pStyle w:val="ListBullet"/>
        <w:spacing w:after="40"/>
      </w:pPr>
      <w:r>
        <w:t>the work was still notebook-centric</w:t>
      </w:r>
    </w:p>
    <w:p>
      <w:pPr>
        <w:pStyle w:val="Heading2"/>
      </w:pPr>
      <w:r>
        <w:t>8 Phase 2: optimization stage</w:t>
      </w:r>
    </w:p>
    <w:p>
      <w:pPr>
        <w:spacing w:after="140"/>
      </w:pPr>
      <w:r>
        <w:rPr>
          <w:b w:val="0"/>
        </w:rPr>
        <w:t>Main optimization outputs:</w:t>
      </w:r>
    </w:p>
    <w:p>
      <w:pPr>
        <w:pStyle w:val="ListBullet"/>
        <w:spacing w:after="40"/>
      </w:pPr>
      <w:r>
        <w:t>F:\BUET plasma\research\outputs\optimization\best_framework_summary.json</w:t>
      </w:r>
    </w:p>
    <w:p>
      <w:pPr>
        <w:pStyle w:val="ListBullet"/>
        <w:spacing w:after="40"/>
      </w:pPr>
      <w:r>
        <w:t>F:\BUET plasma\research\outputs\optimization\best_framework_report.txt</w:t>
      </w:r>
    </w:p>
    <w:p>
      <w:pPr>
        <w:spacing w:after="140"/>
      </w:pPr>
      <w:r>
        <w:rPr>
          <w:b w:val="0"/>
        </w:rPr>
        <w:t>Best optimized hybrid before the final novel extension:</w:t>
      </w:r>
    </w:p>
    <w:p>
      <w:pPr>
        <w:pStyle w:val="ListBullet"/>
        <w:spacing w:after="40"/>
      </w:pPr>
      <w:r>
        <w:t>ResNet50 weight: 0.55</w:t>
      </w:r>
    </w:p>
    <w:p>
      <w:pPr>
        <w:pStyle w:val="ListBullet"/>
        <w:spacing w:after="40"/>
      </w:pPr>
      <w:r>
        <w:t>DenseNet121 weight: 0.45</w:t>
      </w:r>
    </w:p>
    <w:p>
      <w:pPr>
        <w:pStyle w:val="ListBullet"/>
        <w:spacing w:after="40"/>
      </w:pPr>
      <w:r>
        <w:t>Morphology contribution: 0.02</w:t>
      </w:r>
    </w:p>
    <w:p>
      <w:pPr>
        <w:pStyle w:val="ListBullet"/>
        <w:spacing w:after="40"/>
      </w:pPr>
      <w:r>
        <w:t>Threshold: 0.55</w:t>
      </w:r>
    </w:p>
    <w:p>
      <w:pPr>
        <w:spacing w:after="140"/>
      </w:pPr>
      <w:r>
        <w:rPr>
          <w:b w:val="0"/>
        </w:rPr>
        <w:t>Validation metrics:</w:t>
      </w:r>
    </w:p>
    <w:p>
      <w:pPr>
        <w:pStyle w:val="ListBullet"/>
        <w:spacing w:after="40"/>
      </w:pPr>
      <w:r>
        <w:t>Accuracy: 94.36%</w:t>
      </w:r>
    </w:p>
    <w:p>
      <w:pPr>
        <w:pStyle w:val="ListBullet"/>
        <w:spacing w:after="40"/>
      </w:pPr>
      <w:r>
        <w:t>Weighted F1: 94.37%</w:t>
      </w:r>
    </w:p>
    <w:p>
      <w:pPr>
        <w:pStyle w:val="ListBullet"/>
        <w:spacing w:after="40"/>
      </w:pPr>
      <w:r>
        <w:t>Plasma recall: 96.30%</w:t>
      </w:r>
    </w:p>
    <w:p>
      <w:pPr>
        <w:pStyle w:val="ListBullet"/>
        <w:spacing w:after="40"/>
      </w:pPr>
      <w:r>
        <w:t>AUC: 98.03%</w:t>
      </w:r>
    </w:p>
    <w:p>
      <w:pPr>
        <w:spacing w:after="140"/>
      </w:pPr>
      <w:r>
        <w:rPr>
          <w:b w:val="0"/>
        </w:rPr>
        <w:t>Test metrics:</w:t>
      </w:r>
    </w:p>
    <w:p>
      <w:pPr>
        <w:pStyle w:val="ListBullet"/>
        <w:spacing w:after="40"/>
      </w:pPr>
      <w:r>
        <w:t>Accuracy: 92.48%</w:t>
      </w:r>
    </w:p>
    <w:p>
      <w:pPr>
        <w:pStyle w:val="ListBullet"/>
        <w:spacing w:after="40"/>
      </w:pPr>
      <w:r>
        <w:t>Weighted F1: 92.48%</w:t>
      </w:r>
    </w:p>
    <w:p>
      <w:pPr>
        <w:pStyle w:val="ListBullet"/>
        <w:spacing w:after="40"/>
      </w:pPr>
      <w:r>
        <w:t>Plasma recall: 92.15%</w:t>
      </w:r>
    </w:p>
    <w:p>
      <w:pPr>
        <w:pStyle w:val="ListBullet"/>
        <w:spacing w:after="40"/>
      </w:pPr>
      <w:r>
        <w:t>AUC: 97.38%</w:t>
      </w:r>
    </w:p>
    <w:p>
      <w:pPr>
        <w:spacing w:after="140"/>
      </w:pPr>
      <w:r>
        <w:rPr>
          <w:b w:val="0"/>
        </w:rPr>
        <w:t>Best single model:</w:t>
      </w:r>
    </w:p>
    <w:p>
      <w:pPr>
        <w:pStyle w:val="ListBullet"/>
        <w:spacing w:after="40"/>
      </w:pPr>
      <w:r>
        <w:t>ResNet50</w:t>
      </w:r>
    </w:p>
    <w:p>
      <w:pPr>
        <w:pStyle w:val="ListBullet"/>
        <w:spacing w:after="40"/>
      </w:pPr>
      <w:r>
        <w:t>Accuracy: 92.29%</w:t>
      </w:r>
    </w:p>
    <w:p>
      <w:pPr>
        <w:pStyle w:val="ListBullet"/>
        <w:spacing w:after="40"/>
      </w:pPr>
      <w:r>
        <w:t>Weighted F1: 92.31%</w:t>
      </w:r>
    </w:p>
    <w:p>
      <w:pPr>
        <w:pStyle w:val="ListBullet"/>
        <w:spacing w:after="40"/>
      </w:pPr>
      <w:r>
        <w:t>Plasma recall: 94.21%</w:t>
      </w:r>
    </w:p>
    <w:p>
      <w:pPr>
        <w:pStyle w:val="ListBullet"/>
        <w:spacing w:after="40"/>
      </w:pPr>
      <w:r>
        <w:t>AUC: 97.30%</w:t>
      </w:r>
    </w:p>
    <w:p>
      <w:pPr>
        <w:spacing w:after="140"/>
      </w:pPr>
      <w:r>
        <w:rPr>
          <w:b w:val="0"/>
        </w:rPr>
        <w:t>Meaning of phase 2: The project clearly improved beyond the notebook baseline and showed that a hybrid design could compete strongly. However, it still looked too much like a carefully tuned ensemble of known components.</w:t>
      </w:r>
    </w:p>
    <w:p>
      <w:pPr>
        <w:pStyle w:val="Heading2"/>
      </w:pPr>
      <w:r>
        <w:t>9 Why a stronger novelty step was needed</w:t>
      </w:r>
    </w:p>
    <w:p>
      <w:pPr>
        <w:spacing w:after="140"/>
      </w:pPr>
      <w:r>
        <w:rPr>
          <w:b w:val="0"/>
        </w:rPr>
        <w:t>By the end of the optimization stage, the system was strong as engineering but not yet distinctive enough as a research framework. The remaining gap was:</w:t>
      </w:r>
    </w:p>
    <w:p>
      <w:pPr>
        <w:pStyle w:val="ListBullet"/>
        <w:spacing w:after="40"/>
      </w:pPr>
      <w:r>
        <w:t>explainability still felt too external</w:t>
      </w:r>
    </w:p>
    <w:p>
      <w:pPr>
        <w:pStyle w:val="ListBullet"/>
        <w:spacing w:after="40"/>
      </w:pPr>
      <w:r>
        <w:t>fusion was still too close to weighted blending</w:t>
      </w:r>
    </w:p>
    <w:p>
      <w:pPr>
        <w:pStyle w:val="ListBullet"/>
        <w:spacing w:after="40"/>
      </w:pPr>
      <w:r>
        <w:t>there was no deeper patient-level interpretation layer</w:t>
      </w:r>
    </w:p>
    <w:p>
      <w:pPr>
        <w:spacing w:after="140"/>
      </w:pPr>
      <w:r>
        <w:rPr>
          <w:b w:val="0"/>
        </w:rPr>
        <w:t>That motivated the final novel framework stage.</w:t>
      </w:r>
    </w:p>
    <w:p>
      <w:pPr>
        <w:pStyle w:val="Heading2"/>
      </w:pPr>
      <w:r>
        <w:t>10 Final novel architecture overview</w:t>
      </w:r>
    </w:p>
    <w:p>
      <w:pPr>
        <w:spacing w:after="140"/>
      </w:pPr>
      <w:r>
        <w:rPr>
          <w:b w:val="0"/>
        </w:rPr>
        <w:t>Main pipeline: F:\BUET plasma\research\scripts\novel_plasmaxai_pipeline.py</w:t>
      </w:r>
    </w:p>
    <w:p>
      <w:pPr>
        <w:spacing w:after="140"/>
      </w:pPr>
      <w:r>
        <w:rPr>
          <w:b w:val="0"/>
        </w:rPr>
        <w:t>Main final checkpoint: F:\BUET plasma\research\outputs\novel\novel_fusion_model.pth</w:t>
      </w:r>
    </w:p>
    <w:p>
      <w:pPr>
        <w:spacing w:after="140"/>
      </w:pPr>
      <w:r>
        <w:rPr>
          <w:b w:val="0"/>
        </w:rPr>
        <w:t>Supporting artifacts:</w:t>
      </w:r>
    </w:p>
    <w:p>
      <w:pPr>
        <w:pStyle w:val="ListBullet"/>
        <w:spacing w:after="40"/>
      </w:pPr>
      <w:r>
        <w:t>fusion_scalers.joblib</w:t>
      </w:r>
    </w:p>
    <w:p>
      <w:pPr>
        <w:pStyle w:val="ListBullet"/>
        <w:spacing w:after="40"/>
      </w:pPr>
      <w:r>
        <w:t>counterfactual_bundle.joblib</w:t>
      </w:r>
    </w:p>
    <w:p>
      <w:pPr>
        <w:pStyle w:val="ListBullet"/>
        <w:spacing w:after="40"/>
      </w:pPr>
      <w:r>
        <w:t>novel_summary.json</w:t>
      </w:r>
    </w:p>
    <w:p>
      <w:pPr>
        <w:pStyle w:val="ListBullet"/>
        <w:spacing w:after="40"/>
      </w:pPr>
      <w:r>
        <w:t>plasmaxai_operating_point.json</w:t>
      </w:r>
    </w:p>
    <w:p>
      <w:pPr>
        <w:spacing w:after="140"/>
      </w:pPr>
      <w:r>
        <w:rPr>
          <w:b w:val="0"/>
        </w:rPr>
        <w:t>High-level idea: The final model combines:</w:t>
      </w:r>
    </w:p>
    <w:p>
      <w:pPr>
        <w:pStyle w:val="Heading2"/>
      </w:pPr>
      <w:r>
        <w:t>1 ResNet50 image embeddings</w:t>
      </w:r>
    </w:p>
    <w:p>
      <w:pPr>
        <w:pStyle w:val="Heading2"/>
      </w:pPr>
      <w:r>
        <w:t>2 DenseNet121 image embeddings</w:t>
      </w:r>
    </w:p>
    <w:p>
      <w:pPr>
        <w:pStyle w:val="Heading2"/>
      </w:pPr>
      <w:r>
        <w:t>3 handcrafted morphology</w:t>
      </w:r>
    </w:p>
    <w:p>
      <w:pPr>
        <w:pStyle w:val="Heading2"/>
      </w:pPr>
      <w:r>
        <w:t>4 counterfactual boundary descriptors</w:t>
      </w:r>
    </w:p>
    <w:p>
      <w:pPr>
        <w:pStyle w:val="Heading2"/>
      </w:pPr>
      <w:r>
        <w:t>5 compact score features</w:t>
      </w:r>
    </w:p>
    <w:p>
      <w:pPr>
        <w:spacing w:after="140"/>
      </w:pPr>
      <w:r>
        <w:rPr>
          <w:b w:val="0"/>
        </w:rPr>
        <w:t>These are passed through separate encoders, modulated by counterfactual signals, dynamically reweighted by a learned gate, fused, and finally classified.</w:t>
      </w:r>
    </w:p>
    <w:p>
      <w:pPr>
        <w:pStyle w:val="Heading2"/>
      </w:pPr>
      <w:r>
        <w:t>11 Exact input dimensions</w:t>
      </w:r>
    </w:p>
    <w:p>
      <w:pPr>
        <w:spacing w:after="140"/>
      </w:pPr>
      <w:r>
        <w:rPr>
          <w:b w:val="0"/>
        </w:rPr>
        <w:t>Using the saved feature-block definitions in `fusion_scalers.joblib`, the actual input dimensions are:</w:t>
      </w:r>
    </w:p>
    <w:p>
      <w:pPr>
        <w:pStyle w:val="ListBullet"/>
        <w:spacing w:after="40"/>
      </w:pPr>
      <w:r>
        <w:t>ResNet embedding: 2048</w:t>
      </w:r>
    </w:p>
    <w:p>
      <w:pPr>
        <w:pStyle w:val="ListBullet"/>
        <w:spacing w:after="40"/>
      </w:pPr>
      <w:r>
        <w:t>DenseNet embedding: 1024</w:t>
      </w:r>
    </w:p>
    <w:p>
      <w:pPr>
        <w:pStyle w:val="ListBullet"/>
        <w:spacing w:after="40"/>
      </w:pPr>
      <w:r>
        <w:t>Morphology block: 10</w:t>
      </w:r>
    </w:p>
    <w:p>
      <w:pPr>
        <w:pStyle w:val="ListBullet"/>
        <w:spacing w:after="40"/>
      </w:pPr>
      <w:r>
        <w:t>Counterfactual block: 24</w:t>
      </w:r>
    </w:p>
    <w:p>
      <w:pPr>
        <w:pStyle w:val="ListBullet"/>
        <w:spacing w:after="40"/>
      </w:pPr>
      <w:r>
        <w:t>Score block: 3</w:t>
      </w:r>
    </w:p>
    <w:p>
      <w:pPr>
        <w:spacing w:after="140"/>
      </w:pPr>
      <w:r>
        <w:rPr>
          <w:b w:val="0"/>
        </w:rPr>
        <w:t>This matters because the architecture description below is based on the real saved dimensions rather than generic assumptions.</w:t>
      </w:r>
    </w:p>
    <w:p>
      <w:pPr>
        <w:pStyle w:val="Heading2"/>
      </w:pPr>
      <w:r>
        <w:t>12 Layer-by-layer novel architecture</w:t>
      </w:r>
    </w:p>
    <w:p>
      <w:pPr>
        <w:spacing w:after="140"/>
      </w:pPr>
      <w:r>
        <w:rPr>
          <w:b w:val="0"/>
        </w:rPr>
        <w:t>The final architecture class is `CounterfactualGuidedFusionNet`.</w:t>
      </w:r>
    </w:p>
    <w:p>
      <w:pPr>
        <w:spacing w:after="140"/>
      </w:pPr>
      <w:r>
        <w:rPr>
          <w:b w:val="0"/>
        </w:rPr>
        <w:t>Final best configuration:</w:t>
      </w:r>
    </w:p>
    <w:p>
      <w:pPr>
        <w:pStyle w:val="ListBullet"/>
        <w:spacing w:after="40"/>
      </w:pPr>
      <w:r>
        <w:t>hidden_dim = 256</w:t>
      </w:r>
    </w:p>
    <w:p>
      <w:pPr>
        <w:pStyle w:val="ListBullet"/>
        <w:spacing w:after="40"/>
      </w:pPr>
      <w:r>
        <w:t>tabular_dim = 128</w:t>
      </w:r>
    </w:p>
    <w:p>
      <w:pPr>
        <w:pStyle w:val="ListBullet"/>
        <w:spacing w:after="40"/>
      </w:pPr>
      <w:r>
        <w:t>dropout = 0.25</w:t>
      </w:r>
    </w:p>
    <w:p>
      <w:pPr>
        <w:pStyle w:val="Heading3"/>
      </w:pPr>
      <w:r>
        <w:t>12.1 ResNet encoder</w:t>
      </w:r>
    </w:p>
    <w:p>
      <w:pPr>
        <w:spacing w:after="140"/>
      </w:pPr>
      <w:r>
        <w:rPr>
          <w:b w:val="0"/>
        </w:rPr>
        <w:t>Input:</w:t>
      </w:r>
    </w:p>
    <w:p>
      <w:pPr>
        <w:pStyle w:val="ListBullet"/>
        <w:spacing w:after="40"/>
      </w:pPr>
      <w:r>
        <w:t>2048-dimensional ResNet embedding</w:t>
      </w:r>
    </w:p>
    <w:p>
      <w:pPr>
        <w:spacing w:after="140"/>
      </w:pPr>
      <w:r>
        <w:rPr>
          <w:b w:val="0"/>
        </w:rPr>
        <w:t>Layers:</w:t>
      </w:r>
    </w:p>
    <w:p>
      <w:pPr>
        <w:pStyle w:val="Heading2"/>
      </w:pPr>
      <w:r>
        <w:t>1 LayerNorm(2048)</w:t>
      </w:r>
    </w:p>
    <w:p>
      <w:pPr>
        <w:pStyle w:val="Heading2"/>
      </w:pPr>
      <w:r>
        <w:t>2 Linear(2048 -&gt; 256)</w:t>
      </w:r>
    </w:p>
    <w:p>
      <w:pPr>
        <w:pStyle w:val="Heading2"/>
      </w:pPr>
      <w:r>
        <w:t>3 GELU</w:t>
      </w:r>
    </w:p>
    <w:p>
      <w:pPr>
        <w:pStyle w:val="Heading2"/>
      </w:pPr>
      <w:r>
        <w:t>4 Dropout(0.25)</w:t>
      </w:r>
    </w:p>
    <w:p>
      <w:pPr>
        <w:spacing w:after="140"/>
      </w:pPr>
      <w:r>
        <w:rPr>
          <w:b w:val="0"/>
        </w:rPr>
        <w:t>Output:</w:t>
      </w:r>
    </w:p>
    <w:p>
      <w:pPr>
        <w:pStyle w:val="ListBullet"/>
        <w:spacing w:after="40"/>
      </w:pPr>
      <w:r>
        <w:t>256-dimensional ResNet latent vector</w:t>
      </w:r>
    </w:p>
    <w:p>
      <w:pPr>
        <w:pStyle w:val="Heading3"/>
      </w:pPr>
      <w:r>
        <w:t>12.2 DenseNet encoder</w:t>
      </w:r>
    </w:p>
    <w:p>
      <w:pPr>
        <w:spacing w:after="140"/>
      </w:pPr>
      <w:r>
        <w:rPr>
          <w:b w:val="0"/>
        </w:rPr>
        <w:t>Input:</w:t>
      </w:r>
    </w:p>
    <w:p>
      <w:pPr>
        <w:pStyle w:val="ListBullet"/>
        <w:spacing w:after="40"/>
      </w:pPr>
      <w:r>
        <w:t>1024-dimensional DenseNet embedding</w:t>
      </w:r>
    </w:p>
    <w:p>
      <w:pPr>
        <w:spacing w:after="140"/>
      </w:pPr>
      <w:r>
        <w:rPr>
          <w:b w:val="0"/>
        </w:rPr>
        <w:t>Layers:</w:t>
      </w:r>
    </w:p>
    <w:p>
      <w:pPr>
        <w:pStyle w:val="Heading2"/>
      </w:pPr>
      <w:r>
        <w:t>1 LayerNorm(1024)</w:t>
      </w:r>
    </w:p>
    <w:p>
      <w:pPr>
        <w:pStyle w:val="Heading2"/>
      </w:pPr>
      <w:r>
        <w:t>2 Linear(1024 -&gt; 256)</w:t>
      </w:r>
    </w:p>
    <w:p>
      <w:pPr>
        <w:pStyle w:val="Heading2"/>
      </w:pPr>
      <w:r>
        <w:t>3 GELU</w:t>
      </w:r>
    </w:p>
    <w:p>
      <w:pPr>
        <w:pStyle w:val="Heading2"/>
      </w:pPr>
      <w:r>
        <w:t>4 Dropout(0.25)</w:t>
      </w:r>
    </w:p>
    <w:p>
      <w:pPr>
        <w:spacing w:after="140"/>
      </w:pPr>
      <w:r>
        <w:rPr>
          <w:b w:val="0"/>
        </w:rPr>
        <w:t>Output:</w:t>
      </w:r>
    </w:p>
    <w:p>
      <w:pPr>
        <w:pStyle w:val="ListBullet"/>
        <w:spacing w:after="40"/>
      </w:pPr>
      <w:r>
        <w:t>256-dimensional DenseNet latent vector</w:t>
      </w:r>
    </w:p>
    <w:p>
      <w:pPr>
        <w:pStyle w:val="Heading3"/>
      </w:pPr>
      <w:r>
        <w:t>12.3 Morphology encoder</w:t>
      </w:r>
    </w:p>
    <w:p>
      <w:pPr>
        <w:spacing w:after="140"/>
      </w:pPr>
      <w:r>
        <w:rPr>
          <w:b w:val="0"/>
        </w:rPr>
        <w:t>Input:</w:t>
      </w:r>
    </w:p>
    <w:p>
      <w:pPr>
        <w:pStyle w:val="ListBullet"/>
        <w:spacing w:after="40"/>
      </w:pPr>
      <w:r>
        <w:t>10-dimensional morphology vector</w:t>
      </w:r>
    </w:p>
    <w:p>
      <w:pPr>
        <w:spacing w:after="140"/>
      </w:pPr>
      <w:r>
        <w:rPr>
          <w:b w:val="0"/>
        </w:rPr>
        <w:t>Layers:</w:t>
      </w:r>
    </w:p>
    <w:p>
      <w:pPr>
        <w:pStyle w:val="Heading2"/>
      </w:pPr>
      <w:r>
        <w:t>1 LayerNorm(10)</w:t>
      </w:r>
    </w:p>
    <w:p>
      <w:pPr>
        <w:pStyle w:val="Heading2"/>
      </w:pPr>
      <w:r>
        <w:t>2 Linear(10 -&gt; 128)</w:t>
      </w:r>
    </w:p>
    <w:p>
      <w:pPr>
        <w:pStyle w:val="Heading2"/>
      </w:pPr>
      <w:r>
        <w:t>3 GELU</w:t>
      </w:r>
    </w:p>
    <w:p>
      <w:pPr>
        <w:pStyle w:val="Heading2"/>
      </w:pPr>
      <w:r>
        <w:t>4 Dropout(0.25)</w:t>
      </w:r>
    </w:p>
    <w:p>
      <w:pPr>
        <w:spacing w:after="140"/>
      </w:pPr>
      <w:r>
        <w:rPr>
          <w:b w:val="0"/>
        </w:rPr>
        <w:t>Output:</w:t>
      </w:r>
    </w:p>
    <w:p>
      <w:pPr>
        <w:pStyle w:val="ListBullet"/>
        <w:spacing w:after="40"/>
      </w:pPr>
      <w:r>
        <w:t>128-dimensional morphology latent vector</w:t>
      </w:r>
    </w:p>
    <w:p>
      <w:pPr>
        <w:pStyle w:val="Heading3"/>
      </w:pPr>
      <w:r>
        <w:t>12.4 Counterfactual encoder</w:t>
      </w:r>
    </w:p>
    <w:p>
      <w:pPr>
        <w:spacing w:after="140"/>
      </w:pPr>
      <w:r>
        <w:rPr>
          <w:b w:val="0"/>
        </w:rPr>
        <w:t>Input:</w:t>
      </w:r>
    </w:p>
    <w:p>
      <w:pPr>
        <w:pStyle w:val="ListBullet"/>
        <w:spacing w:after="40"/>
      </w:pPr>
      <w:r>
        <w:t>24-dimensional counterfactual feature vector</w:t>
      </w:r>
    </w:p>
    <w:p>
      <w:pPr>
        <w:spacing w:after="140"/>
      </w:pPr>
      <w:r>
        <w:rPr>
          <w:b w:val="0"/>
        </w:rPr>
        <w:t>Layers:</w:t>
      </w:r>
    </w:p>
    <w:p>
      <w:pPr>
        <w:pStyle w:val="Heading2"/>
      </w:pPr>
      <w:r>
        <w:t>1 LayerNorm(24)</w:t>
      </w:r>
    </w:p>
    <w:p>
      <w:pPr>
        <w:pStyle w:val="Heading2"/>
      </w:pPr>
      <w:r>
        <w:t>2 Linear(24 -&gt; 128)</w:t>
      </w:r>
    </w:p>
    <w:p>
      <w:pPr>
        <w:pStyle w:val="Heading2"/>
      </w:pPr>
      <w:r>
        <w:t>3 GELU</w:t>
      </w:r>
    </w:p>
    <w:p>
      <w:pPr>
        <w:pStyle w:val="Heading2"/>
      </w:pPr>
      <w:r>
        <w:t>4 Dropout(0.25)</w:t>
      </w:r>
    </w:p>
    <w:p>
      <w:pPr>
        <w:spacing w:after="140"/>
      </w:pPr>
      <w:r>
        <w:rPr>
          <w:b w:val="0"/>
        </w:rPr>
        <w:t>Output:</w:t>
      </w:r>
    </w:p>
    <w:p>
      <w:pPr>
        <w:pStyle w:val="ListBullet"/>
        <w:spacing w:after="40"/>
      </w:pPr>
      <w:r>
        <w:t>128-dimensional counterfactual latent vector</w:t>
      </w:r>
    </w:p>
    <w:p>
      <w:pPr>
        <w:pStyle w:val="Heading3"/>
      </w:pPr>
      <w:r>
        <w:t>12.5 Score encoder</w:t>
      </w:r>
    </w:p>
    <w:p>
      <w:pPr>
        <w:spacing w:after="140"/>
      </w:pPr>
      <w:r>
        <w:rPr>
          <w:b w:val="0"/>
        </w:rPr>
        <w:t>Input:</w:t>
      </w:r>
    </w:p>
    <w:p>
      <w:pPr>
        <w:pStyle w:val="ListBullet"/>
        <w:spacing w:after="40"/>
      </w:pPr>
      <w:r>
        <w:t>3-dimensional score vector:</w:t>
      </w:r>
    </w:p>
    <w:p>
      <w:pPr>
        <w:spacing w:after="140"/>
      </w:pPr>
      <w:r>
        <w:rPr>
          <w:b w:val="0"/>
        </w:rPr>
        <w:t>- ResNet probability - DenseNet probability - counterfactual logistic probability</w:t>
      </w:r>
    </w:p>
    <w:p>
      <w:pPr>
        <w:spacing w:after="140"/>
      </w:pPr>
      <w:r>
        <w:rPr>
          <w:b w:val="0"/>
        </w:rPr>
        <w:t>Layers:</w:t>
      </w:r>
    </w:p>
    <w:p>
      <w:pPr>
        <w:pStyle w:val="Heading2"/>
      </w:pPr>
      <w:r>
        <w:t>1 LayerNorm(3)</w:t>
      </w:r>
    </w:p>
    <w:p>
      <w:pPr>
        <w:pStyle w:val="Heading2"/>
      </w:pPr>
      <w:r>
        <w:t>2 Linear(3 -&gt; 128)</w:t>
      </w:r>
    </w:p>
    <w:p>
      <w:pPr>
        <w:pStyle w:val="Heading2"/>
      </w:pPr>
      <w:r>
        <w:t>3 GELU</w:t>
      </w:r>
    </w:p>
    <w:p>
      <w:pPr>
        <w:pStyle w:val="Heading2"/>
      </w:pPr>
      <w:r>
        <w:t>4 Dropout(0.25)</w:t>
      </w:r>
    </w:p>
    <w:p>
      <w:pPr>
        <w:spacing w:after="140"/>
      </w:pPr>
      <w:r>
        <w:rPr>
          <w:b w:val="0"/>
        </w:rPr>
        <w:t>Output:</w:t>
      </w:r>
    </w:p>
    <w:p>
      <w:pPr>
        <w:pStyle w:val="ListBullet"/>
        <w:spacing w:after="40"/>
      </w:pPr>
      <w:r>
        <w:t>128-dimensional score latent vector</w:t>
      </w:r>
    </w:p>
    <w:p>
      <w:pPr>
        <w:pStyle w:val="Heading3"/>
      </w:pPr>
      <w:r>
        <w:t>12.6 Counterfactual-to-ResNet gate</w:t>
      </w:r>
    </w:p>
    <w:p>
      <w:pPr>
        <w:spacing w:after="140"/>
      </w:pPr>
      <w:r>
        <w:rPr>
          <w:b w:val="0"/>
        </w:rPr>
        <w:t>Module:</w:t>
      </w:r>
    </w:p>
    <w:p>
      <w:pPr>
        <w:pStyle w:val="ListBullet"/>
        <w:spacing w:after="40"/>
      </w:pPr>
      <w:r>
        <w:t>Linear(128 -&gt; 256)</w:t>
      </w:r>
    </w:p>
    <w:p>
      <w:pPr>
        <w:pStyle w:val="ListBullet"/>
        <w:spacing w:after="40"/>
      </w:pPr>
      <w:r>
        <w:t>Sigmoid</w:t>
      </w:r>
    </w:p>
    <w:p>
      <w:pPr>
        <w:spacing w:after="140"/>
      </w:pPr>
      <w:r>
        <w:rPr>
          <w:b w:val="0"/>
        </w:rPr>
        <w:t>Operation: `res_feat = res_feat * cf_to_res(cf_feat)`</w:t>
      </w:r>
    </w:p>
    <w:p>
      <w:pPr>
        <w:spacing w:after="140"/>
      </w:pPr>
      <w:r>
        <w:rPr>
          <w:b w:val="0"/>
        </w:rPr>
        <w:t>Meaning: The counterfactual branch directly modulates the ResNet branch. This is one of the main reasons the architecture is more than a post-hoc explanation system.</w:t>
      </w:r>
    </w:p>
    <w:p>
      <w:pPr>
        <w:pStyle w:val="Heading3"/>
      </w:pPr>
      <w:r>
        <w:t>12.7 Counterfactual-to-DenseNet gate</w:t>
      </w:r>
    </w:p>
    <w:p>
      <w:pPr>
        <w:spacing w:after="140"/>
      </w:pPr>
      <w:r>
        <w:rPr>
          <w:b w:val="0"/>
        </w:rPr>
        <w:t>Module:</w:t>
      </w:r>
    </w:p>
    <w:p>
      <w:pPr>
        <w:pStyle w:val="ListBullet"/>
        <w:spacing w:after="40"/>
      </w:pPr>
      <w:r>
        <w:t>Linear(128 -&gt; 256)</w:t>
      </w:r>
    </w:p>
    <w:p>
      <w:pPr>
        <w:pStyle w:val="ListBullet"/>
        <w:spacing w:after="40"/>
      </w:pPr>
      <w:r>
        <w:t>Sigmoid</w:t>
      </w:r>
    </w:p>
    <w:p>
      <w:pPr>
        <w:spacing w:after="140"/>
      </w:pPr>
      <w:r>
        <w:rPr>
          <w:b w:val="0"/>
        </w:rPr>
        <w:t>Operation: `den_feat = den_feat * cf_to_den(cf_feat)`</w:t>
      </w:r>
    </w:p>
    <w:p>
      <w:pPr>
        <w:spacing w:after="140"/>
      </w:pPr>
      <w:r>
        <w:rPr>
          <w:b w:val="0"/>
        </w:rPr>
        <w:t>Meaning: The DenseNet latent representation is also explicitly filtered through a counterfactual gate.</w:t>
      </w:r>
    </w:p>
    <w:p>
      <w:pPr>
        <w:pStyle w:val="Heading3"/>
      </w:pPr>
      <w:r>
        <w:t>12.8 Morphology-to-score refinement</w:t>
      </w:r>
    </w:p>
    <w:p>
      <w:pPr>
        <w:spacing w:after="140"/>
      </w:pPr>
      <w:r>
        <w:rPr>
          <w:b w:val="0"/>
        </w:rPr>
        <w:t>Module:</w:t>
      </w:r>
    </w:p>
    <w:p>
      <w:pPr>
        <w:pStyle w:val="ListBullet"/>
        <w:spacing w:after="40"/>
      </w:pPr>
      <w:r>
        <w:t>Linear(128 + 128 -&gt; 128)</w:t>
      </w:r>
    </w:p>
    <w:p>
      <w:pPr>
        <w:pStyle w:val="ListBullet"/>
        <w:spacing w:after="40"/>
      </w:pPr>
      <w:r>
        <w:t>GELU</w:t>
      </w:r>
    </w:p>
    <w:p>
      <w:pPr>
        <w:pStyle w:val="ListBullet"/>
        <w:spacing w:after="40"/>
      </w:pPr>
      <w:r>
        <w:t>Dropout(0.25)</w:t>
      </w:r>
    </w:p>
    <w:p>
      <w:pPr>
        <w:spacing w:after="140"/>
      </w:pPr>
      <w:r>
        <w:rPr>
          <w:b w:val="0"/>
        </w:rPr>
        <w:t>Input:</w:t>
      </w:r>
    </w:p>
    <w:p>
      <w:pPr>
        <w:pStyle w:val="ListBullet"/>
        <w:spacing w:after="40"/>
      </w:pPr>
      <w:r>
        <w:t>concatenation of `morph_feat` and `cf_feat`</w:t>
      </w:r>
    </w:p>
    <w:p>
      <w:pPr>
        <w:spacing w:after="140"/>
      </w:pPr>
      <w:r>
        <w:rPr>
          <w:b w:val="0"/>
        </w:rPr>
        <w:t>Operation: `score_feat = score_feat + morph_to_scores(concat(morph_feat, cf_feat))`</w:t>
      </w:r>
    </w:p>
    <w:p>
      <w:pPr>
        <w:spacing w:after="140"/>
      </w:pPr>
      <w:r>
        <w:rPr>
          <w:b w:val="0"/>
        </w:rPr>
        <w:t>Meaning: The score branch does not remain a raw three-number channel. It becomes a learned, morphology-aware, counterfactual-aware signal.</w:t>
      </w:r>
    </w:p>
    <w:p>
      <w:pPr>
        <w:pStyle w:val="Heading3"/>
      </w:pPr>
      <w:r>
        <w:t>12.9 Modality gate context</w:t>
      </w:r>
    </w:p>
    <w:p>
      <w:pPr>
        <w:spacing w:after="140"/>
      </w:pPr>
      <w:r>
        <w:rPr>
          <w:b w:val="0"/>
        </w:rPr>
        <w:t>The gate context is the concatenation of:</w:t>
      </w:r>
    </w:p>
    <w:p>
      <w:pPr>
        <w:pStyle w:val="ListBullet"/>
        <w:spacing w:after="40"/>
      </w:pPr>
      <w:r>
        <w:t>res_feat (256)</w:t>
      </w:r>
    </w:p>
    <w:p>
      <w:pPr>
        <w:pStyle w:val="ListBullet"/>
        <w:spacing w:after="40"/>
      </w:pPr>
      <w:r>
        <w:t>den_feat (256)</w:t>
      </w:r>
    </w:p>
    <w:p>
      <w:pPr>
        <w:pStyle w:val="ListBullet"/>
        <w:spacing w:after="40"/>
      </w:pPr>
      <w:r>
        <w:t>morph_feat (128)</w:t>
      </w:r>
    </w:p>
    <w:p>
      <w:pPr>
        <w:pStyle w:val="ListBullet"/>
        <w:spacing w:after="40"/>
      </w:pPr>
      <w:r>
        <w:t>cf_feat (128)</w:t>
      </w:r>
    </w:p>
    <w:p>
      <w:pPr>
        <w:pStyle w:val="ListBullet"/>
        <w:spacing w:after="40"/>
      </w:pPr>
      <w:r>
        <w:t>score_feat (128)</w:t>
      </w:r>
    </w:p>
    <w:p>
      <w:pPr>
        <w:spacing w:after="140"/>
      </w:pPr>
      <w:r>
        <w:rPr>
          <w:b w:val="0"/>
        </w:rPr>
        <w:t>Total dimension:</w:t>
      </w:r>
    </w:p>
    <w:p>
      <w:pPr>
        <w:pStyle w:val="ListBullet"/>
        <w:spacing w:after="40"/>
      </w:pPr>
      <w:r>
        <w:t>896</w:t>
      </w:r>
    </w:p>
    <w:p>
      <w:pPr>
        <w:spacing w:after="140"/>
      </w:pPr>
      <w:r>
        <w:rPr>
          <w:b w:val="0"/>
        </w:rPr>
        <w:t>Modality gate module:</w:t>
      </w:r>
    </w:p>
    <w:p>
      <w:pPr>
        <w:pStyle w:val="Heading2"/>
      </w:pPr>
      <w:r>
        <w:t>1 LayerNorm(896)</w:t>
      </w:r>
    </w:p>
    <w:p>
      <w:pPr>
        <w:pStyle w:val="Heading2"/>
      </w:pPr>
      <w:r>
        <w:t>2 Linear(896 -&gt; 4)</w:t>
      </w:r>
    </w:p>
    <w:p>
      <w:pPr>
        <w:pStyle w:val="Heading2"/>
      </w:pPr>
      <w:r>
        <w:t>3 Softmax</w:t>
      </w:r>
    </w:p>
    <w:p>
      <w:pPr>
        <w:spacing w:after="140"/>
      </w:pPr>
      <w:r>
        <w:rPr>
          <w:b w:val="0"/>
        </w:rPr>
        <w:t>Output:</w:t>
      </w:r>
    </w:p>
    <w:p>
      <w:pPr>
        <w:pStyle w:val="ListBullet"/>
        <w:spacing w:after="40"/>
      </w:pPr>
      <w:r>
        <w:t>four gate weights</w:t>
      </w:r>
    </w:p>
    <w:p>
      <w:pPr>
        <w:spacing w:after="140"/>
      </w:pPr>
      <w:r>
        <w:rPr>
          <w:b w:val="0"/>
        </w:rPr>
        <w:t>These correspond to:</w:t>
      </w:r>
    </w:p>
    <w:p>
      <w:pPr>
        <w:pStyle w:val="ListBullet"/>
        <w:spacing w:after="40"/>
      </w:pPr>
      <w:r>
        <w:t>ResNet branch</w:t>
      </w:r>
    </w:p>
    <w:p>
      <w:pPr>
        <w:pStyle w:val="ListBullet"/>
        <w:spacing w:after="40"/>
      </w:pPr>
      <w:r>
        <w:t>DenseNet branch</w:t>
      </w:r>
    </w:p>
    <w:p>
      <w:pPr>
        <w:pStyle w:val="ListBullet"/>
        <w:spacing w:after="40"/>
      </w:pPr>
      <w:r>
        <w:t>morphology branch</w:t>
      </w:r>
    </w:p>
    <w:p>
      <w:pPr>
        <w:pStyle w:val="ListBullet"/>
        <w:spacing w:after="40"/>
      </w:pPr>
      <w:r>
        <w:t>counterfactual branch</w:t>
      </w:r>
    </w:p>
    <w:p>
      <w:pPr>
        <w:pStyle w:val="Heading3"/>
      </w:pPr>
      <w:r>
        <w:t>12.10 Unification layers</w:t>
      </w:r>
    </w:p>
    <w:p>
      <w:pPr>
        <w:spacing w:after="140"/>
      </w:pPr>
      <w:r>
        <w:rPr>
          <w:b w:val="0"/>
        </w:rPr>
        <w:t>To bring branch outputs into a common fusion space:</w:t>
      </w:r>
    </w:p>
    <w:p>
      <w:pPr>
        <w:pStyle w:val="ListBullet"/>
        <w:spacing w:after="40"/>
      </w:pPr>
      <w:r>
        <w:t>res_unify: Linear(256 -&gt; 256)</w:t>
      </w:r>
    </w:p>
    <w:p>
      <w:pPr>
        <w:pStyle w:val="ListBullet"/>
        <w:spacing w:after="40"/>
      </w:pPr>
      <w:r>
        <w:t>den_unify: Linear(256 -&gt; 256)</w:t>
      </w:r>
    </w:p>
    <w:p>
      <w:pPr>
        <w:pStyle w:val="ListBullet"/>
        <w:spacing w:after="40"/>
      </w:pPr>
      <w:r>
        <w:t>morph_unify: Linear(128 -&gt; 256)</w:t>
      </w:r>
    </w:p>
    <w:p>
      <w:pPr>
        <w:pStyle w:val="ListBullet"/>
        <w:spacing w:after="40"/>
      </w:pPr>
      <w:r>
        <w:t>cf_unify: Linear(128 -&gt; 256)</w:t>
      </w:r>
    </w:p>
    <w:p>
      <w:pPr>
        <w:pStyle w:val="ListBullet"/>
        <w:spacing w:after="40"/>
      </w:pPr>
      <w:r>
        <w:t>score_unify: Linear(128 -&gt; 256)</w:t>
      </w:r>
    </w:p>
    <w:p>
      <w:pPr>
        <w:pStyle w:val="Heading3"/>
      </w:pPr>
      <w:r>
        <w:t>12.11 Fused modal stream</w:t>
      </w:r>
    </w:p>
    <w:p>
      <w:pPr>
        <w:spacing w:after="140"/>
      </w:pPr>
      <w:r>
        <w:rPr>
          <w:b w:val="0"/>
        </w:rPr>
        <w:t>The fused modal vector is built as:</w:t>
      </w:r>
    </w:p>
    <w:p>
      <w:pPr>
        <w:pStyle w:val="ListBullet"/>
        <w:spacing w:after="40"/>
      </w:pPr>
      <w:r>
        <w:t>gate_resnet * res_unify(res_feat)</w:t>
      </w:r>
    </w:p>
    <w:p>
      <w:pPr>
        <w:pStyle w:val="ListBullet"/>
        <w:spacing w:after="40"/>
      </w:pPr>
      <w:r>
        <w:t>plus gate_densenet * den_unify(den_feat)</w:t>
      </w:r>
    </w:p>
    <w:p>
      <w:pPr>
        <w:pStyle w:val="ListBullet"/>
        <w:spacing w:after="40"/>
      </w:pPr>
      <w:r>
        <w:t>plus gate_morph * morph_unify(morph_feat)</w:t>
      </w:r>
    </w:p>
    <w:p>
      <w:pPr>
        <w:pStyle w:val="ListBullet"/>
        <w:spacing w:after="40"/>
      </w:pPr>
      <w:r>
        <w:t>plus gate_cf * cf_unify(cf_feat)</w:t>
      </w:r>
    </w:p>
    <w:p>
      <w:pPr>
        <w:spacing w:after="140"/>
      </w:pPr>
      <w:r>
        <w:rPr>
          <w:b w:val="0"/>
        </w:rPr>
        <w:t>This yields one 256-dimensional fused modal representation.</w:t>
      </w:r>
    </w:p>
    <w:p>
      <w:pPr>
        <w:pStyle w:val="Heading3"/>
      </w:pPr>
      <w:r>
        <w:t>12.12 Final classifier path</w:t>
      </w:r>
    </w:p>
    <w:p>
      <w:pPr>
        <w:spacing w:after="140"/>
      </w:pPr>
      <w:r>
        <w:rPr>
          <w:b w:val="0"/>
        </w:rPr>
        <w:t>The unified score branch is:</w:t>
      </w:r>
    </w:p>
    <w:p>
      <w:pPr>
        <w:pStyle w:val="ListBullet"/>
        <w:spacing w:after="40"/>
      </w:pPr>
      <w:r>
        <w:t>score_unify(score_feat) -&gt; 256 dimensions</w:t>
      </w:r>
    </w:p>
    <w:p>
      <w:pPr>
        <w:spacing w:after="140"/>
      </w:pPr>
      <w:r>
        <w:rPr>
          <w:b w:val="0"/>
        </w:rPr>
        <w:t>The final classifier input is:</w:t>
      </w:r>
    </w:p>
    <w:p>
      <w:pPr>
        <w:pStyle w:val="ListBullet"/>
        <w:spacing w:after="40"/>
      </w:pPr>
      <w:r>
        <w:t>concat(fused_modal, score_unify(score_feat))</w:t>
      </w:r>
    </w:p>
    <w:p>
      <w:pPr>
        <w:spacing w:after="140"/>
      </w:pPr>
      <w:r>
        <w:rPr>
          <w:b w:val="0"/>
        </w:rPr>
        <w:t>Total classifier input dimension:</w:t>
      </w:r>
    </w:p>
    <w:p>
      <w:pPr>
        <w:pStyle w:val="ListBullet"/>
        <w:spacing w:after="40"/>
      </w:pPr>
      <w:r>
        <w:t>512</w:t>
      </w:r>
    </w:p>
    <w:p>
      <w:pPr>
        <w:spacing w:after="140"/>
      </w:pPr>
      <w:r>
        <w:rPr>
          <w:b w:val="0"/>
        </w:rPr>
        <w:t>Classifier layers:</w:t>
      </w:r>
    </w:p>
    <w:p>
      <w:pPr>
        <w:pStyle w:val="Heading2"/>
      </w:pPr>
      <w:r>
        <w:t>1 LayerNorm(512)</w:t>
      </w:r>
    </w:p>
    <w:p>
      <w:pPr>
        <w:pStyle w:val="Heading2"/>
      </w:pPr>
      <w:r>
        <w:t>2 Linear(512 -&gt; 256)</w:t>
      </w:r>
    </w:p>
    <w:p>
      <w:pPr>
        <w:pStyle w:val="Heading2"/>
      </w:pPr>
      <w:r>
        <w:t>3 GELU</w:t>
      </w:r>
    </w:p>
    <w:p>
      <w:pPr>
        <w:pStyle w:val="Heading2"/>
      </w:pPr>
      <w:r>
        <w:t>4 Dropout(0.25)</w:t>
      </w:r>
    </w:p>
    <w:p>
      <w:pPr>
        <w:pStyle w:val="Heading2"/>
      </w:pPr>
      <w:r>
        <w:t>5 Linear(256 -&gt; 2)</w:t>
      </w:r>
    </w:p>
    <w:p>
      <w:pPr>
        <w:spacing w:after="140"/>
      </w:pPr>
      <w:r>
        <w:rPr>
          <w:b w:val="0"/>
        </w:rPr>
        <w:t>Outputs:</w:t>
      </w:r>
    </w:p>
    <w:p>
      <w:pPr>
        <w:pStyle w:val="ListBullet"/>
        <w:spacing w:after="40"/>
      </w:pPr>
      <w:r>
        <w:t>binary logits</w:t>
      </w:r>
    </w:p>
    <w:p>
      <w:pPr>
        <w:pStyle w:val="ListBullet"/>
        <w:spacing w:after="40"/>
      </w:pPr>
      <w:r>
        <w:t>modality gates</w:t>
      </w:r>
    </w:p>
    <w:p>
      <w:pPr>
        <w:pStyle w:val="Heading3"/>
      </w:pPr>
      <w:r>
        <w:t>12.13 Forward-path summary</w:t>
      </w:r>
    </w:p>
    <w:p>
      <w:pPr>
        <w:spacing w:after="140"/>
      </w:pPr>
      <w:r>
        <w:rPr>
          <w:b w:val="0"/>
        </w:rPr>
        <w:t>The exact logic is:</w:t>
      </w:r>
    </w:p>
    <w:p>
      <w:pPr>
        <w:pStyle w:val="Heading2"/>
      </w:pPr>
      <w:r>
        <w:t>1 encode all five input blocks</w:t>
      </w:r>
    </w:p>
    <w:p>
      <w:pPr>
        <w:pStyle w:val="Heading2"/>
      </w:pPr>
      <w:r>
        <w:t>2 gate both deep image streams using counterfactual features</w:t>
      </w:r>
    </w:p>
    <w:p>
      <w:pPr>
        <w:pStyle w:val="Heading2"/>
      </w:pPr>
      <w:r>
        <w:t>3 refine the score stream using morphology + counterfactual context</w:t>
      </w:r>
    </w:p>
    <w:p>
      <w:pPr>
        <w:pStyle w:val="Heading2"/>
      </w:pPr>
      <w:r>
        <w:t>4 compute softmax modality weights from all streams</w:t>
      </w:r>
    </w:p>
    <w:p>
      <w:pPr>
        <w:pStyle w:val="Heading2"/>
      </w:pPr>
      <w:r>
        <w:t>5 project each branch to a common 256-dimensional space</w:t>
      </w:r>
    </w:p>
    <w:p>
      <w:pPr>
        <w:pStyle w:val="Heading2"/>
      </w:pPr>
      <w:r>
        <w:t>6 form a weighted modal sum across ResNet/DenseNet/Morphology/Counterfactual</w:t>
      </w:r>
    </w:p>
    <w:p>
      <w:pPr>
        <w:pStyle w:val="Heading2"/>
      </w:pPr>
      <w:r>
        <w:t>7 concatenate the weighted modal sum with the score stream</w:t>
      </w:r>
    </w:p>
    <w:p>
      <w:pPr>
        <w:pStyle w:val="Heading2"/>
      </w:pPr>
      <w:r>
        <w:t>8 classify into two classes</w:t>
      </w:r>
    </w:p>
    <w:p>
      <w:pPr>
        <w:spacing w:after="140"/>
      </w:pPr>
      <w:r>
        <w:rPr>
          <w:b w:val="0"/>
        </w:rPr>
        <w:t>This is the central architectural novelty of PlasmaXAI.</w:t>
      </w:r>
    </w:p>
    <w:p>
      <w:pPr>
        <w:pStyle w:val="Heading2"/>
      </w:pPr>
      <w:r>
        <w:t>13 Morphology feature extraction details</w:t>
      </w:r>
    </w:p>
    <w:p>
      <w:pPr>
        <w:spacing w:after="140"/>
      </w:pPr>
      <w:r>
        <w:rPr>
          <w:b w:val="0"/>
        </w:rPr>
        <w:t>Each image is resized to 128 x 128 for handcrafted morphology extraction.</w:t>
      </w:r>
    </w:p>
    <w:p>
      <w:pPr>
        <w:spacing w:after="140"/>
      </w:pPr>
      <w:r>
        <w:rPr>
          <w:b w:val="0"/>
        </w:rPr>
        <w:t>Computed channels:</w:t>
      </w:r>
    </w:p>
    <w:p>
      <w:pPr>
        <w:pStyle w:val="ListBullet"/>
        <w:spacing w:after="40"/>
      </w:pPr>
      <w:r>
        <w:t>mean_r = average red intensity / 255</w:t>
      </w:r>
    </w:p>
    <w:p>
      <w:pPr>
        <w:pStyle w:val="ListBullet"/>
        <w:spacing w:after="40"/>
      </w:pPr>
      <w:r>
        <w:t>mean_g = average green intensity / 255</w:t>
      </w:r>
    </w:p>
    <w:p>
      <w:pPr>
        <w:pStyle w:val="ListBullet"/>
        <w:spacing w:after="40"/>
      </w:pPr>
      <w:r>
        <w:t>mean_b = average blue intensity / 255</w:t>
      </w:r>
    </w:p>
    <w:p>
      <w:pPr>
        <w:spacing w:after="140"/>
      </w:pPr>
      <w:r>
        <w:rPr>
          <w:b w:val="0"/>
        </w:rPr>
        <w:t>Staining intensity:</w:t>
      </w:r>
    </w:p>
    <w:p>
      <w:pPr>
        <w:pStyle w:val="ListBullet"/>
        <w:spacing w:after="40"/>
      </w:pPr>
      <w:r>
        <w:t>1.0 - mean(image) / 255</w:t>
      </w:r>
    </w:p>
    <w:p>
      <w:pPr>
        <w:spacing w:after="140"/>
      </w:pPr>
      <w:r>
        <w:rPr>
          <w:b w:val="0"/>
        </w:rPr>
        <w:t>Grayscale conversion:</w:t>
      </w:r>
    </w:p>
    <w:p>
      <w:pPr>
        <w:pStyle w:val="ListBullet"/>
        <w:spacing w:after="40"/>
      </w:pPr>
      <w:r>
        <w:t>RGB -&gt; grayscale</w:t>
      </w:r>
    </w:p>
    <w:p>
      <w:pPr>
        <w:spacing w:after="140"/>
      </w:pPr>
      <w:r>
        <w:rPr>
          <w:b w:val="0"/>
        </w:rPr>
        <w:t>Thresholding:</w:t>
      </w:r>
    </w:p>
    <w:p>
      <w:pPr>
        <w:pStyle w:val="ListBullet"/>
        <w:spacing w:after="40"/>
      </w:pPr>
      <w:r>
        <w:t>nucleus mask uses threshold 80 with binary inverse</w:t>
      </w:r>
    </w:p>
    <w:p>
      <w:pPr>
        <w:pStyle w:val="ListBullet"/>
        <w:spacing w:after="40"/>
      </w:pPr>
      <w:r>
        <w:t>cell mask uses threshold 200 with binary inverse</w:t>
      </w:r>
    </w:p>
    <w:p>
      <w:pPr>
        <w:spacing w:after="140"/>
      </w:pPr>
      <w:r>
        <w:rPr>
          <w:b w:val="0"/>
        </w:rPr>
        <w:t>Area quantities:</w:t>
      </w:r>
    </w:p>
    <w:p>
      <w:pPr>
        <w:pStyle w:val="ListBullet"/>
        <w:spacing w:after="40"/>
      </w:pPr>
      <w:r>
        <w:t>nucleus_area = positive nucleus pixels / total pixels</w:t>
      </w:r>
    </w:p>
    <w:p>
      <w:pPr>
        <w:pStyle w:val="ListBullet"/>
        <w:spacing w:after="40"/>
      </w:pPr>
      <w:r>
        <w:t>cell_area = positive cell pixels / total pixels</w:t>
      </w:r>
    </w:p>
    <w:p>
      <w:pPr>
        <w:pStyle w:val="ListBullet"/>
        <w:spacing w:after="40"/>
      </w:pPr>
      <w:r>
        <w:t>cytoplasm_area = max(cell_area - nucleus_area, 0)</w:t>
      </w:r>
    </w:p>
    <w:p>
      <w:pPr>
        <w:spacing w:after="140"/>
      </w:pPr>
      <w:r>
        <w:rPr>
          <w:b w:val="0"/>
        </w:rPr>
        <w:t>NC ratio:</w:t>
      </w:r>
    </w:p>
    <w:p>
      <w:pPr>
        <w:pStyle w:val="ListBullet"/>
        <w:spacing w:after="40"/>
      </w:pPr>
      <w:r>
        <w:t>nucleus_area / max(cytoplasm_area, 1e-3)</w:t>
      </w:r>
    </w:p>
    <w:p>
      <w:pPr>
        <w:pStyle w:val="ListBullet"/>
        <w:spacing w:after="40"/>
      </w:pPr>
      <w:r>
        <w:t>clipped at 25.0</w:t>
      </w:r>
    </w:p>
    <w:p>
      <w:pPr>
        <w:spacing w:after="140"/>
      </w:pPr>
      <w:r>
        <w:rPr>
          <w:b w:val="0"/>
        </w:rPr>
        <w:t>Granularity:</w:t>
      </w:r>
    </w:p>
    <w:p>
      <w:pPr>
        <w:pStyle w:val="ListBullet"/>
        <w:spacing w:after="40"/>
      </w:pPr>
      <w:r>
        <w:t>Laplacian variance / 1000</w:t>
      </w:r>
    </w:p>
    <w:p>
      <w:pPr>
        <w:spacing w:after="140"/>
      </w:pPr>
      <w:r>
        <w:rPr>
          <w:b w:val="0"/>
        </w:rPr>
        <w:t>Roundness:</w:t>
      </w:r>
    </w:p>
    <w:p>
      <w:pPr>
        <w:pStyle w:val="ListBullet"/>
        <w:spacing w:after="40"/>
      </w:pPr>
      <w:r>
        <w:t>computed from the largest nucleus contour using:</w:t>
      </w:r>
    </w:p>
    <w:p>
      <w:pPr>
        <w:spacing w:after="140"/>
      </w:pPr>
      <w:r>
        <w:rPr>
          <w:b w:val="0"/>
        </w:rPr>
        <w:t>(4 * pi * area) / perimeter^2</w:t>
      </w:r>
    </w:p>
    <w:p>
      <w:pPr>
        <w:spacing w:after="140"/>
      </w:pPr>
      <w:r>
        <w:rPr>
          <w:b w:val="0"/>
        </w:rPr>
        <w:t>The final morphology block is:</w:t>
      </w:r>
    </w:p>
    <w:p>
      <w:pPr>
        <w:pStyle w:val="ListBullet"/>
        <w:spacing w:after="40"/>
      </w:pPr>
      <w:r>
        <w:t>nc_ratio</w:t>
      </w:r>
    </w:p>
    <w:p>
      <w:pPr>
        <w:pStyle w:val="ListBullet"/>
        <w:spacing w:after="40"/>
      </w:pPr>
      <w:r>
        <w:t>nc_ratio_log1p</w:t>
      </w:r>
    </w:p>
    <w:p>
      <w:pPr>
        <w:pStyle w:val="ListBullet"/>
        <w:spacing w:after="40"/>
      </w:pPr>
      <w:r>
        <w:t>nucleus_area</w:t>
      </w:r>
    </w:p>
    <w:p>
      <w:pPr>
        <w:pStyle w:val="ListBullet"/>
        <w:spacing w:after="40"/>
      </w:pPr>
      <w:r>
        <w:t>cytoplasm_area</w:t>
      </w:r>
    </w:p>
    <w:p>
      <w:pPr>
        <w:pStyle w:val="ListBullet"/>
        <w:spacing w:after="40"/>
      </w:pPr>
      <w:r>
        <w:t>staining_intensity</w:t>
      </w:r>
    </w:p>
    <w:p>
      <w:pPr>
        <w:pStyle w:val="ListBullet"/>
        <w:spacing w:after="40"/>
      </w:pPr>
      <w:r>
        <w:t>granularity</w:t>
      </w:r>
    </w:p>
    <w:p>
      <w:pPr>
        <w:pStyle w:val="ListBullet"/>
        <w:spacing w:after="40"/>
      </w:pPr>
      <w:r>
        <w:t>roundness</w:t>
      </w:r>
    </w:p>
    <w:p>
      <w:pPr>
        <w:pStyle w:val="ListBullet"/>
        <w:spacing w:after="40"/>
      </w:pPr>
      <w:r>
        <w:t>mean_r</w:t>
      </w:r>
    </w:p>
    <w:p>
      <w:pPr>
        <w:pStyle w:val="ListBullet"/>
        <w:spacing w:after="40"/>
      </w:pPr>
      <w:r>
        <w:t>mean_g</w:t>
      </w:r>
    </w:p>
    <w:p>
      <w:pPr>
        <w:pStyle w:val="ListBullet"/>
        <w:spacing w:after="40"/>
      </w:pPr>
      <w:r>
        <w:t>mean_b</w:t>
      </w:r>
    </w:p>
    <w:p>
      <w:pPr>
        <w:pStyle w:val="Heading2"/>
      </w:pPr>
      <w:r>
        <w:t>14 Backbone feature extraction details</w:t>
      </w:r>
    </w:p>
    <w:p>
      <w:pPr>
        <w:spacing w:after="140"/>
      </w:pPr>
      <w:r>
        <w:rPr>
          <w:b w:val="0"/>
        </w:rPr>
        <w:t>Backbones used:</w:t>
      </w:r>
    </w:p>
    <w:p>
      <w:pPr>
        <w:pStyle w:val="ListBullet"/>
        <w:spacing w:after="40"/>
      </w:pPr>
      <w:r>
        <w:t>ResNet50</w:t>
      </w:r>
    </w:p>
    <w:p>
      <w:pPr>
        <w:pStyle w:val="ListBullet"/>
        <w:spacing w:after="40"/>
      </w:pPr>
      <w:r>
        <w:t>DenseNet121</w:t>
      </w:r>
    </w:p>
    <w:p>
      <w:pPr>
        <w:spacing w:after="140"/>
      </w:pPr>
      <w:r>
        <w:rPr>
          <w:b w:val="0"/>
        </w:rPr>
        <w:t>Checkpoint sources:</w:t>
      </w:r>
    </w:p>
    <w:p>
      <w:pPr>
        <w:pStyle w:val="ListBullet"/>
        <w:spacing w:after="40"/>
      </w:pPr>
      <w:r>
        <w:t>research/outputs/optimization/checkpoints/resnet50_final.pth</w:t>
      </w:r>
    </w:p>
    <w:p>
      <w:pPr>
        <w:pStyle w:val="ListBullet"/>
        <w:spacing w:after="40"/>
      </w:pPr>
      <w:r>
        <w:t>research/outputs/optimization/checkpoints/densenet121_final.pth</w:t>
      </w:r>
    </w:p>
    <w:p>
      <w:pPr>
        <w:spacing w:after="140"/>
      </w:pPr>
      <w:r>
        <w:rPr>
          <w:b w:val="0"/>
        </w:rPr>
        <w:t>Image preprocessing for the backbones:</w:t>
      </w:r>
    </w:p>
    <w:p>
      <w:pPr>
        <w:pStyle w:val="Heading2"/>
      </w:pPr>
      <w:r>
        <w:t>1 resize to 224 x 224</w:t>
      </w:r>
    </w:p>
    <w:p>
      <w:pPr>
        <w:pStyle w:val="Heading2"/>
      </w:pPr>
      <w:r>
        <w:t>2 convert to tensor</w:t>
      </w:r>
    </w:p>
    <w:p>
      <w:pPr>
        <w:pStyle w:val="Heading2"/>
      </w:pPr>
      <w:r>
        <w:t>3 normalize with ImageNet statistics:</w:t>
      </w:r>
    </w:p>
    <w:p>
      <w:pPr>
        <w:spacing w:after="140"/>
      </w:pPr>
      <w:r>
        <w:rPr>
          <w:b w:val="0"/>
        </w:rPr>
        <w:t>- mean [0.485, 0.456, 0.406] - std [0.229, 0.224, 0.225]</w:t>
      </w:r>
    </w:p>
    <w:p>
      <w:pPr>
        <w:spacing w:after="140"/>
      </w:pPr>
      <w:r>
        <w:rPr>
          <w:b w:val="0"/>
        </w:rPr>
        <w:t>Feature extraction logic:</w:t>
      </w:r>
    </w:p>
    <w:p>
      <w:pPr>
        <w:pStyle w:val="ListBullet"/>
        <w:spacing w:after="40"/>
      </w:pPr>
      <w:r>
        <w:t>`forward_features(images)`</w:t>
      </w:r>
    </w:p>
    <w:p>
      <w:pPr>
        <w:pStyle w:val="ListBullet"/>
        <w:spacing w:after="40"/>
      </w:pPr>
      <w:r>
        <w:t>`forward_head(feat_map, pre_logits=True)` -&gt; embedding</w:t>
      </w:r>
    </w:p>
    <w:p>
      <w:pPr>
        <w:pStyle w:val="ListBullet"/>
        <w:spacing w:after="40"/>
      </w:pPr>
      <w:r>
        <w:t>`forward_head(feat_map)` -&gt; logits</w:t>
      </w:r>
    </w:p>
    <w:p>
      <w:pPr>
        <w:pStyle w:val="ListBullet"/>
        <w:spacing w:after="40"/>
      </w:pPr>
      <w:r>
        <w:t>softmax(logits)[:, 1] -&gt; plasma probability</w:t>
      </w:r>
    </w:p>
    <w:p>
      <w:pPr>
        <w:spacing w:after="140"/>
      </w:pPr>
      <w:r>
        <w:rPr>
          <w:b w:val="0"/>
        </w:rPr>
        <w:t>Cached embedding files:</w:t>
      </w:r>
    </w:p>
    <w:p>
      <w:pPr>
        <w:pStyle w:val="ListBullet"/>
        <w:spacing w:after="40"/>
      </w:pPr>
      <w:r>
        <w:t>research/outputs/novel/cache/train_embeddings.pkl</w:t>
      </w:r>
    </w:p>
    <w:p>
      <w:pPr>
        <w:pStyle w:val="ListBullet"/>
        <w:spacing w:after="40"/>
      </w:pPr>
      <w:r>
        <w:t>research/outputs/novel/cache/val_embeddings.pkl</w:t>
      </w:r>
    </w:p>
    <w:p>
      <w:pPr>
        <w:pStyle w:val="ListBullet"/>
        <w:spacing w:after="40"/>
      </w:pPr>
      <w:r>
        <w:t>research/outputs/novel/cache/test_embeddings.pkl</w:t>
      </w:r>
    </w:p>
    <w:p>
      <w:pPr>
        <w:spacing w:after="140"/>
      </w:pPr>
      <w:r>
        <w:rPr>
          <w:b w:val="0"/>
        </w:rPr>
        <w:t>Observed cache sizes:</w:t>
      </w:r>
    </w:p>
    <w:p>
      <w:pPr>
        <w:pStyle w:val="ListBullet"/>
        <w:spacing w:after="40"/>
      </w:pPr>
      <w:r>
        <w:t>train_embeddings.pkl ~ 61.3 MB</w:t>
      </w:r>
    </w:p>
    <w:p>
      <w:pPr>
        <w:pStyle w:val="ListBullet"/>
        <w:spacing w:after="40"/>
      </w:pPr>
      <w:r>
        <w:t>val_embeddings.pkl ~ 13.2 MB</w:t>
      </w:r>
    </w:p>
    <w:p>
      <w:pPr>
        <w:pStyle w:val="ListBullet"/>
        <w:spacing w:after="40"/>
      </w:pPr>
      <w:r>
        <w:t>test_embeddings.pkl ~ 13.2 MB</w:t>
      </w:r>
    </w:p>
    <w:p>
      <w:pPr>
        <w:spacing w:after="140"/>
      </w:pPr>
      <w:r>
        <w:rPr>
          <w:b w:val="0"/>
        </w:rPr>
        <w:t>Why caching mattered: Backbone features were expensive enough that reusing cached embeddings made the fusion search and repeated analysis stages much faster and more stable.</w:t>
      </w:r>
    </w:p>
    <w:p>
      <w:pPr>
        <w:pStyle w:val="Heading2"/>
      </w:pPr>
      <w:r>
        <w:t>15 Counterfactual model and counterfactual feature construction</w:t>
      </w:r>
    </w:p>
    <w:p>
      <w:pPr>
        <w:spacing w:after="140"/>
      </w:pPr>
      <w:r>
        <w:rPr>
          <w:b w:val="0"/>
        </w:rPr>
        <w:t>Counterfactual model fitting uses:</w:t>
      </w:r>
    </w:p>
    <w:p>
      <w:pPr>
        <w:pStyle w:val="ListBullet"/>
        <w:spacing w:after="40"/>
      </w:pPr>
      <w:r>
        <w:t>StandardScaler</w:t>
      </w:r>
    </w:p>
    <w:p>
      <w:pPr>
        <w:pStyle w:val="ListBullet"/>
        <w:spacing w:after="40"/>
      </w:pPr>
      <w:r>
        <w:t>LogisticRegression(max_iter=2000, class_weight="balanced", random_state=42)</w:t>
      </w:r>
    </w:p>
    <w:p>
      <w:pPr>
        <w:spacing w:after="140"/>
      </w:pPr>
      <w:r>
        <w:rPr>
          <w:b w:val="0"/>
        </w:rPr>
        <w:t>Training morphology data:</w:t>
      </w:r>
    </w:p>
    <w:p>
      <w:pPr>
        <w:pStyle w:val="ListBullet"/>
        <w:spacing w:after="40"/>
      </w:pPr>
      <w:r>
        <w:t>the training split morphology table only</w:t>
      </w:r>
    </w:p>
    <w:p>
      <w:pPr>
        <w:spacing w:after="140"/>
      </w:pPr>
      <w:r>
        <w:rPr>
          <w:b w:val="0"/>
        </w:rPr>
        <w:t>Stored counterfactual bundle contents:</w:t>
      </w:r>
    </w:p>
    <w:p>
      <w:pPr>
        <w:pStyle w:val="ListBullet"/>
        <w:spacing w:after="40"/>
      </w:pPr>
      <w:r>
        <w:t>scaler</w:t>
      </w:r>
    </w:p>
    <w:p>
      <w:pPr>
        <w:pStyle w:val="ListBullet"/>
        <w:spacing w:after="40"/>
      </w:pPr>
      <w:r>
        <w:t>logistic regression model</w:t>
      </w:r>
    </w:p>
    <w:p>
      <w:pPr>
        <w:pStyle w:val="ListBullet"/>
        <w:spacing w:after="40"/>
      </w:pPr>
      <w:r>
        <w:t>benign prototype</w:t>
      </w:r>
    </w:p>
    <w:p>
      <w:pPr>
        <w:spacing w:after="140"/>
      </w:pPr>
      <w:r>
        <w:rPr>
          <w:b w:val="0"/>
        </w:rPr>
        <w:t>Counterfactual features are constructed by:</w:t>
      </w:r>
    </w:p>
    <w:p>
      <w:pPr>
        <w:pStyle w:val="Heading2"/>
      </w:pPr>
      <w:r>
        <w:t>1 scaling morphology features</w:t>
      </w:r>
    </w:p>
    <w:p>
      <w:pPr>
        <w:pStyle w:val="Heading2"/>
      </w:pPr>
      <w:r>
        <w:t>2 computing logistic margin</w:t>
      </w:r>
    </w:p>
    <w:p>
      <w:pPr>
        <w:pStyle w:val="Heading2"/>
      </w:pPr>
      <w:r>
        <w:t>3 computing logistic plasma probability</w:t>
      </w:r>
    </w:p>
    <w:p>
      <w:pPr>
        <w:pStyle w:val="Heading2"/>
      </w:pPr>
      <w:r>
        <w:t>4 reading the logistic coefficient vector</w:t>
      </w:r>
    </w:p>
    <w:p>
      <w:pPr>
        <w:pStyle w:val="Heading2"/>
      </w:pPr>
      <w:r>
        <w:t>5 forming the shift-to-boundary vector `delta`</w:t>
      </w:r>
    </w:p>
    <w:p>
      <w:pPr>
        <w:pStyle w:val="Heading2"/>
      </w:pPr>
      <w:r>
        <w:t>6 forming the shift-to-benign-prototype vector `proto_delta`</w:t>
      </w:r>
    </w:p>
    <w:p>
      <w:pPr>
        <w:spacing w:after="140"/>
      </w:pPr>
      <w:r>
        <w:rPr>
          <w:b w:val="0"/>
        </w:rPr>
        <w:t>The final 24-dimensional counterfactual block includes:</w:t>
      </w:r>
    </w:p>
    <w:p>
      <w:pPr>
        <w:pStyle w:val="ListBullet"/>
        <w:spacing w:after="40"/>
      </w:pPr>
      <w:r>
        <w:t>10 `cf_shift_*` values</w:t>
      </w:r>
    </w:p>
    <w:p>
      <w:pPr>
        <w:pStyle w:val="ListBullet"/>
        <w:spacing w:after="40"/>
      </w:pPr>
      <w:r>
        <w:t>10 `proto_shift_*` values</w:t>
      </w:r>
    </w:p>
    <w:p>
      <w:pPr>
        <w:pStyle w:val="ListBullet"/>
        <w:spacing w:after="40"/>
      </w:pPr>
      <w:r>
        <w:t>cf_margin</w:t>
      </w:r>
    </w:p>
    <w:p>
      <w:pPr>
        <w:pStyle w:val="ListBullet"/>
        <w:spacing w:after="40"/>
      </w:pPr>
      <w:r>
        <w:t>cf_distance_l2</w:t>
      </w:r>
    </w:p>
    <w:p>
      <w:pPr>
        <w:pStyle w:val="ListBullet"/>
        <w:spacing w:after="40"/>
      </w:pPr>
      <w:r>
        <w:t>cf_distance_l1</w:t>
      </w:r>
    </w:p>
    <w:p>
      <w:pPr>
        <w:pStyle w:val="ListBullet"/>
        <w:spacing w:after="40"/>
      </w:pPr>
      <w:r>
        <w:t>cf_proto_distance</w:t>
      </w:r>
    </w:p>
    <w:p>
      <w:pPr>
        <w:spacing w:after="140"/>
      </w:pPr>
      <w:r>
        <w:rPr>
          <w:b w:val="0"/>
        </w:rPr>
        <w:t>This block is one of the defining parts of the final model because it gives a mathematically structured explanation-aware representation of how far the sample lies from a lower-risk morphology region.</w:t>
      </w:r>
    </w:p>
    <w:p>
      <w:pPr>
        <w:pStyle w:val="Heading2"/>
      </w:pPr>
      <w:r>
        <w:t>16 Training logic for the fusion model</w:t>
      </w:r>
    </w:p>
    <w:p>
      <w:pPr>
        <w:spacing w:after="140"/>
      </w:pPr>
      <w:r>
        <w:rPr>
          <w:b w:val="0"/>
        </w:rPr>
        <w:t>Training dataset object:</w:t>
      </w:r>
    </w:p>
    <w:p>
      <w:pPr>
        <w:pStyle w:val="ListBullet"/>
        <w:spacing w:after="40"/>
      </w:pPr>
      <w:r>
        <w:t>TensorDataset(res, den, morph, cf, scores, labels)</w:t>
      </w:r>
    </w:p>
    <w:p>
      <w:pPr>
        <w:spacing w:after="140"/>
      </w:pPr>
      <w:r>
        <w:rPr>
          <w:b w:val="0"/>
        </w:rPr>
        <w:t>Class balancing strategy:</w:t>
      </w:r>
    </w:p>
    <w:p>
      <w:pPr>
        <w:pStyle w:val="ListBullet"/>
        <w:spacing w:after="40"/>
      </w:pPr>
      <w:r>
        <w:t>inverse-frequency weights</w:t>
      </w:r>
    </w:p>
    <w:p>
      <w:pPr>
        <w:pStyle w:val="ListBullet"/>
        <w:spacing w:after="40"/>
      </w:pPr>
      <w:r>
        <w:t>WeightedRandomSampler</w:t>
      </w:r>
    </w:p>
    <w:p>
      <w:pPr>
        <w:pStyle w:val="ListBullet"/>
        <w:spacing w:after="40"/>
      </w:pPr>
      <w:r>
        <w:t>class-weighted CrossEntropyLoss</w:t>
      </w:r>
    </w:p>
    <w:p>
      <w:pPr>
        <w:spacing w:after="140"/>
      </w:pPr>
      <w:r>
        <w:rPr>
          <w:b w:val="0"/>
        </w:rPr>
        <w:t>Optimizer:</w:t>
      </w:r>
    </w:p>
    <w:p>
      <w:pPr>
        <w:pStyle w:val="ListBullet"/>
        <w:spacing w:after="40"/>
      </w:pPr>
      <w:r>
        <w:t>AdamW</w:t>
      </w:r>
    </w:p>
    <w:p>
      <w:pPr>
        <w:spacing w:after="140"/>
      </w:pPr>
      <w:r>
        <w:rPr>
          <w:b w:val="0"/>
        </w:rPr>
        <w:t>Scheduler:</w:t>
      </w:r>
    </w:p>
    <w:p>
      <w:pPr>
        <w:pStyle w:val="ListBullet"/>
        <w:spacing w:after="40"/>
      </w:pPr>
      <w:r>
        <w:t>CosineAnnealingLR with `T_max = epochs`</w:t>
      </w:r>
    </w:p>
    <w:p>
      <w:pPr>
        <w:spacing w:after="140"/>
      </w:pPr>
      <w:r>
        <w:rPr>
          <w:b w:val="0"/>
        </w:rPr>
        <w:t>Mixed precision:</w:t>
      </w:r>
    </w:p>
    <w:p>
      <w:pPr>
        <w:pStyle w:val="ListBullet"/>
        <w:spacing w:after="40"/>
      </w:pPr>
      <w:r>
        <w:t>torch.autocast used on CUDA</w:t>
      </w:r>
    </w:p>
    <w:p>
      <w:pPr>
        <w:pStyle w:val="ListBullet"/>
        <w:spacing w:after="40"/>
      </w:pPr>
      <w:r>
        <w:t>torch.amp.GradScaler used on CUDA</w:t>
      </w:r>
    </w:p>
    <w:p>
      <w:pPr>
        <w:spacing w:after="140"/>
      </w:pPr>
      <w:r>
        <w:rPr>
          <w:b w:val="0"/>
        </w:rPr>
        <w:t>Early stopping:</w:t>
      </w:r>
    </w:p>
    <w:p>
      <w:pPr>
        <w:pStyle w:val="ListBullet"/>
        <w:spacing w:after="40"/>
      </w:pPr>
      <w:r>
        <w:t>based on validation priority</w:t>
      </w:r>
    </w:p>
    <w:p>
      <w:pPr>
        <w:pStyle w:val="ListBullet"/>
        <w:spacing w:after="40"/>
      </w:pPr>
      <w:r>
        <w:t>patience from the config</w:t>
      </w:r>
    </w:p>
    <w:p>
      <w:pPr>
        <w:spacing w:after="140"/>
      </w:pPr>
      <w:r>
        <w:rPr>
          <w:b w:val="0"/>
        </w:rPr>
        <w:t>Config search space:</w:t>
      </w:r>
    </w:p>
    <w:p>
      <w:pPr>
        <w:pStyle w:val="ListBullet"/>
        <w:spacing w:after="40"/>
      </w:pPr>
      <w:r>
        <w:t>fusion_cfg_a</w:t>
      </w:r>
    </w:p>
    <w:p>
      <w:pPr>
        <w:pStyle w:val="ListBullet"/>
        <w:spacing w:after="40"/>
      </w:pPr>
      <w:r>
        <w:t>fusion_cfg_b</w:t>
      </w:r>
    </w:p>
    <w:p>
      <w:pPr>
        <w:pStyle w:val="ListBullet"/>
        <w:spacing w:after="40"/>
      </w:pPr>
      <w:r>
        <w:t>fusion_cfg_c</w:t>
      </w:r>
    </w:p>
    <w:p>
      <w:pPr>
        <w:spacing w:after="140"/>
      </w:pPr>
      <w:r>
        <w:rPr>
          <w:b w:val="0"/>
        </w:rPr>
        <w:t>Best config selected:</w:t>
      </w:r>
    </w:p>
    <w:p>
      <w:pPr>
        <w:pStyle w:val="ListBullet"/>
        <w:spacing w:after="40"/>
      </w:pPr>
      <w:r>
        <w:t>fusion_cfg_a</w:t>
      </w:r>
    </w:p>
    <w:p>
      <w:pPr>
        <w:pStyle w:val="ListBullet"/>
        <w:spacing w:after="40"/>
      </w:pPr>
      <w:r>
        <w:t>hidden_dim = 256</w:t>
      </w:r>
    </w:p>
    <w:p>
      <w:pPr>
        <w:pStyle w:val="ListBullet"/>
        <w:spacing w:after="40"/>
      </w:pPr>
      <w:r>
        <w:t>tabular_dim = 128</w:t>
      </w:r>
    </w:p>
    <w:p>
      <w:pPr>
        <w:pStyle w:val="ListBullet"/>
        <w:spacing w:after="40"/>
      </w:pPr>
      <w:r>
        <w:t>dropout = 0.25</w:t>
      </w:r>
    </w:p>
    <w:p>
      <w:pPr>
        <w:pStyle w:val="ListBullet"/>
        <w:spacing w:after="40"/>
      </w:pPr>
      <w:r>
        <w:t>lr = 0.001</w:t>
      </w:r>
    </w:p>
    <w:p>
      <w:pPr>
        <w:pStyle w:val="ListBullet"/>
        <w:spacing w:after="40"/>
      </w:pPr>
      <w:r>
        <w:t>weight_decay = 0.0001</w:t>
      </w:r>
    </w:p>
    <w:p>
      <w:pPr>
        <w:pStyle w:val="ListBullet"/>
        <w:spacing w:after="40"/>
      </w:pPr>
      <w:r>
        <w:t>epochs = 60</w:t>
      </w:r>
    </w:p>
    <w:p>
      <w:pPr>
        <w:pStyle w:val="ListBullet"/>
        <w:spacing w:after="40"/>
      </w:pPr>
      <w:r>
        <w:t>batch_size = 128</w:t>
      </w:r>
    </w:p>
    <w:p>
      <w:pPr>
        <w:pStyle w:val="ListBullet"/>
        <w:spacing w:after="40"/>
      </w:pPr>
      <w:r>
        <w:t>patience = 10</w:t>
      </w:r>
    </w:p>
    <w:p>
      <w:pPr>
        <w:pStyle w:val="Heading2"/>
      </w:pPr>
      <w:r>
        <w:t>17 Threshold search and model selection logic</w:t>
      </w:r>
    </w:p>
    <w:p>
      <w:pPr>
        <w:spacing w:after="140"/>
      </w:pPr>
      <w:r>
        <w:rPr>
          <w:b w:val="0"/>
        </w:rPr>
        <w:t>Threshold search is performed on validation probabilities using:</w:t>
      </w:r>
    </w:p>
    <w:p>
      <w:pPr>
        <w:pStyle w:val="ListBullet"/>
        <w:spacing w:after="40"/>
      </w:pPr>
      <w:r>
        <w:t>`np.linspace(0.05, 0.95, 181)`</w:t>
      </w:r>
    </w:p>
    <w:p>
      <w:pPr>
        <w:spacing w:after="140"/>
      </w:pPr>
      <w:r>
        <w:rPr>
          <w:b w:val="0"/>
        </w:rPr>
        <w:t>That means the threshold is scanned in 0.005 increments.</w:t>
      </w:r>
    </w:p>
    <w:p>
      <w:pPr>
        <w:spacing w:after="140"/>
      </w:pPr>
      <w:r>
        <w:rPr>
          <w:b w:val="0"/>
        </w:rPr>
        <w:t>Metrics computed at each threshold:</w:t>
      </w:r>
    </w:p>
    <w:p>
      <w:pPr>
        <w:pStyle w:val="ListBullet"/>
        <w:spacing w:after="40"/>
      </w:pPr>
      <w:r>
        <w:t>accuracy</w:t>
      </w:r>
    </w:p>
    <w:p>
      <w:pPr>
        <w:pStyle w:val="ListBullet"/>
        <w:spacing w:after="40"/>
      </w:pPr>
      <w:r>
        <w:t>weighted F1</w:t>
      </w:r>
    </w:p>
    <w:p>
      <w:pPr>
        <w:pStyle w:val="ListBullet"/>
        <w:spacing w:after="40"/>
      </w:pPr>
      <w:r>
        <w:t>plasma precision</w:t>
      </w:r>
    </w:p>
    <w:p>
      <w:pPr>
        <w:pStyle w:val="ListBullet"/>
        <w:spacing w:after="40"/>
      </w:pPr>
      <w:r>
        <w:t>plasma recall</w:t>
      </w:r>
    </w:p>
    <w:p>
      <w:pPr>
        <w:pStyle w:val="ListBullet"/>
        <w:spacing w:after="40"/>
      </w:pPr>
      <w:r>
        <w:t>AUC</w:t>
      </w:r>
    </w:p>
    <w:p>
      <w:pPr>
        <w:spacing w:after="140"/>
      </w:pPr>
      <w:r>
        <w:rPr>
          <w:b w:val="0"/>
        </w:rPr>
        <w:t>The priority rule is not just "highest accuracy". The model selection logic first checks whether plasma recall reaches a clinical floor of 90%. The priority tuple is:</w:t>
      </w:r>
    </w:p>
    <w:p>
      <w:pPr>
        <w:pStyle w:val="Heading2"/>
      </w:pPr>
      <w:r>
        <w:t>1 recall floor met or not</w:t>
      </w:r>
    </w:p>
    <w:p>
      <w:pPr>
        <w:pStyle w:val="Heading2"/>
      </w:pPr>
      <w:r>
        <w:t>2 accuracy</w:t>
      </w:r>
    </w:p>
    <w:p>
      <w:pPr>
        <w:pStyle w:val="Heading2"/>
      </w:pPr>
      <w:r>
        <w:t>3 weighted F1</w:t>
      </w:r>
    </w:p>
    <w:p>
      <w:pPr>
        <w:pStyle w:val="Heading2"/>
      </w:pPr>
      <w:r>
        <w:t>4 AUC</w:t>
      </w:r>
    </w:p>
    <w:p>
      <w:pPr>
        <w:pStyle w:val="Heading2"/>
      </w:pPr>
      <w:r>
        <w:t>5 plasma recall</w:t>
      </w:r>
    </w:p>
    <w:p>
      <w:pPr>
        <w:spacing w:after="140"/>
      </w:pPr>
      <w:r>
        <w:rPr>
          <w:b w:val="0"/>
        </w:rPr>
        <w:t>This is extremely important for understanding how the final result was produced. The model was selected with a clinical screening mindset rather than with a purely academic top-1 accuracy mindset.</w:t>
      </w:r>
    </w:p>
    <w:p>
      <w:pPr>
        <w:pStyle w:val="Heading2"/>
      </w:pPr>
      <w:r>
        <w:t>18 Best-history behavior and internal gate trends</w:t>
      </w:r>
    </w:p>
    <w:p>
      <w:pPr>
        <w:spacing w:after="140"/>
      </w:pPr>
      <w:r>
        <w:rPr>
          <w:b w:val="0"/>
        </w:rPr>
        <w:t>Best-history file:</w:t>
      </w:r>
    </w:p>
    <w:p>
      <w:pPr>
        <w:pStyle w:val="ListBullet"/>
        <w:spacing w:after="40"/>
      </w:pPr>
      <w:r>
        <w:t>research/outputs/novel/best_fusion_history.csv</w:t>
      </w:r>
    </w:p>
    <w:p>
      <w:pPr>
        <w:spacing w:after="140"/>
      </w:pPr>
      <w:r>
        <w:rPr>
          <w:b w:val="0"/>
        </w:rPr>
        <w:t>Observed early epochs:</w:t>
      </w:r>
    </w:p>
    <w:p>
      <w:pPr>
        <w:pStyle w:val="ListBullet"/>
        <w:spacing w:after="40"/>
      </w:pPr>
      <w:r>
        <w:t>epoch 1</w:t>
      </w:r>
    </w:p>
    <w:p>
      <w:pPr>
        <w:spacing w:after="140"/>
      </w:pPr>
      <w:r>
        <w:rPr>
          <w:b w:val="0"/>
        </w:rPr>
        <w:t>- train loss: 0.2300 - train acc: 91.46 - val acc: 94.36 - val recall: 96.30 - val AUC: 97.86</w:t>
      </w:r>
    </w:p>
    <w:p>
      <w:pPr>
        <w:pStyle w:val="ListBullet"/>
        <w:spacing w:after="40"/>
      </w:pPr>
      <w:r>
        <w:t>epoch 4</w:t>
      </w:r>
    </w:p>
    <w:p>
      <w:pPr>
        <w:spacing w:after="140"/>
      </w:pPr>
      <w:r>
        <w:rPr>
          <w:b w:val="0"/>
        </w:rPr>
        <w:t>- train loss: 0.1354 - train acc: 94.56 - val acc: 93.98 - threshold: 0.72</w:t>
      </w:r>
    </w:p>
    <w:p>
      <w:pPr>
        <w:pStyle w:val="ListBullet"/>
        <w:spacing w:after="40"/>
      </w:pPr>
      <w:r>
        <w:t>epoch 9</w:t>
      </w:r>
    </w:p>
    <w:p>
      <w:pPr>
        <w:spacing w:after="140"/>
      </w:pPr>
      <w:r>
        <w:rPr>
          <w:b w:val="0"/>
        </w:rPr>
        <w:t>- train loss: 0.1184 - train acc: 95.73 - val recall: 97.12</w:t>
      </w:r>
    </w:p>
    <w:p>
      <w:pPr>
        <w:spacing w:after="140"/>
      </w:pPr>
      <w:r>
        <w:rPr>
          <w:b w:val="0"/>
        </w:rPr>
        <w:t>Average gate examples over epochs show dynamic rather than fixed behavior:</w:t>
      </w:r>
    </w:p>
    <w:p>
      <w:pPr>
        <w:pStyle w:val="ListBullet"/>
        <w:spacing w:after="40"/>
      </w:pPr>
      <w:r>
        <w:t>ResNet gate commonly high</w:t>
      </w:r>
    </w:p>
    <w:p>
      <w:pPr>
        <w:pStyle w:val="ListBullet"/>
        <w:spacing w:after="40"/>
      </w:pPr>
      <w:r>
        <w:t>DenseNet gate fluctuates meaningfully</w:t>
      </w:r>
    </w:p>
    <w:p>
      <w:pPr>
        <w:pStyle w:val="ListBullet"/>
        <w:spacing w:after="40"/>
      </w:pPr>
      <w:r>
        <w:t>morphology gate becomes non-trivial in several epochs</w:t>
      </w:r>
    </w:p>
    <w:p>
      <w:pPr>
        <w:pStyle w:val="ListBullet"/>
        <w:spacing w:after="40"/>
      </w:pPr>
      <w:r>
        <w:t>counterfactual direct gate may appear numerically smaller on average, but</w:t>
      </w:r>
    </w:p>
    <w:p>
      <w:pPr>
        <w:spacing w:after="140"/>
      </w:pPr>
      <w:r>
        <w:rPr>
          <w:b w:val="0"/>
        </w:rPr>
        <w:t>this understates its importance because it also modulates the image streams and refines the score branch</w:t>
      </w:r>
    </w:p>
    <w:p>
      <w:pPr>
        <w:pStyle w:val="Heading2"/>
      </w:pPr>
      <w:r>
        <w:t>19 Final novel-summary result versus final preferred operating point</w:t>
      </w:r>
    </w:p>
    <w:p>
      <w:pPr>
        <w:spacing w:after="140"/>
      </w:pPr>
      <w:r>
        <w:rPr>
          <w:b w:val="0"/>
        </w:rPr>
        <w:t>Original novel summary (`novel_summary.json`) reports:</w:t>
      </w:r>
    </w:p>
    <w:p>
      <w:pPr>
        <w:pStyle w:val="ListBullet"/>
        <w:spacing w:after="40"/>
      </w:pPr>
      <w:r>
        <w:t>threshold: 0.76</w:t>
      </w:r>
    </w:p>
    <w:p>
      <w:pPr>
        <w:pStyle w:val="ListBullet"/>
        <w:spacing w:after="40"/>
      </w:pPr>
      <w:r>
        <w:t>accuracy: 93.23%</w:t>
      </w:r>
    </w:p>
    <w:p>
      <w:pPr>
        <w:pStyle w:val="ListBullet"/>
        <w:spacing w:after="40"/>
      </w:pPr>
      <w:r>
        <w:t>weighted F1: 93.24%</w:t>
      </w:r>
    </w:p>
    <w:p>
      <w:pPr>
        <w:pStyle w:val="ListBullet"/>
        <w:spacing w:after="40"/>
      </w:pPr>
      <w:r>
        <w:t>plasma precision: 91.87%</w:t>
      </w:r>
    </w:p>
    <w:p>
      <w:pPr>
        <w:pStyle w:val="ListBullet"/>
        <w:spacing w:after="40"/>
      </w:pPr>
      <w:r>
        <w:t>plasma recall: 93.39%</w:t>
      </w:r>
    </w:p>
    <w:p>
      <w:pPr>
        <w:pStyle w:val="ListBullet"/>
        <w:spacing w:after="40"/>
      </w:pPr>
      <w:r>
        <w:t>AUC: 97.76%</w:t>
      </w:r>
    </w:p>
    <w:p>
      <w:pPr>
        <w:spacing w:after="140"/>
      </w:pPr>
      <w:r>
        <w:rPr>
          <w:b w:val="0"/>
        </w:rPr>
        <w:t>Final preferred operating point (`plasmaxai_operating_point.json`) reports:</w:t>
      </w:r>
    </w:p>
    <w:p>
      <w:pPr>
        <w:pStyle w:val="ListBullet"/>
        <w:spacing w:after="40"/>
      </w:pPr>
      <w:r>
        <w:t>threshold: 0.72</w:t>
      </w:r>
    </w:p>
    <w:p>
      <w:pPr>
        <w:pStyle w:val="ListBullet"/>
        <w:spacing w:after="40"/>
      </w:pPr>
      <w:r>
        <w:t>accuracy: 93.42%</w:t>
      </w:r>
    </w:p>
    <w:p>
      <w:pPr>
        <w:pStyle w:val="ListBullet"/>
        <w:spacing w:after="40"/>
      </w:pPr>
      <w:r>
        <w:t>weighted F1: 93.43%</w:t>
      </w:r>
    </w:p>
    <w:p>
      <w:pPr>
        <w:pStyle w:val="ListBullet"/>
        <w:spacing w:after="40"/>
      </w:pPr>
      <w:r>
        <w:t>plasma precision: 91.24%</w:t>
      </w:r>
    </w:p>
    <w:p>
      <w:pPr>
        <w:pStyle w:val="ListBullet"/>
        <w:spacing w:after="40"/>
      </w:pPr>
      <w:r>
        <w:t>plasma recall: 94.63%</w:t>
      </w:r>
    </w:p>
    <w:p>
      <w:pPr>
        <w:pStyle w:val="ListBullet"/>
        <w:spacing w:after="40"/>
      </w:pPr>
      <w:r>
        <w:t>AUC: 97.76%</w:t>
      </w:r>
    </w:p>
    <w:p>
      <w:pPr>
        <w:spacing w:after="140"/>
      </w:pPr>
      <w:r>
        <w:rPr>
          <w:b w:val="0"/>
        </w:rPr>
        <w:t>Why 0.72 became the preferred public threshold:</w:t>
      </w:r>
    </w:p>
    <w:p>
      <w:pPr>
        <w:pStyle w:val="ListBullet"/>
        <w:spacing w:after="40"/>
      </w:pPr>
      <w:r>
        <w:t>it preserved the same AUC</w:t>
      </w:r>
    </w:p>
    <w:p>
      <w:pPr>
        <w:pStyle w:val="ListBullet"/>
        <w:spacing w:after="40"/>
      </w:pPr>
      <w:r>
        <w:t>it kept precision strong</w:t>
      </w:r>
    </w:p>
    <w:p>
      <w:pPr>
        <w:pStyle w:val="ListBullet"/>
        <w:spacing w:after="40"/>
      </w:pPr>
      <w:r>
        <w:t>it improved plasma recall</w:t>
      </w:r>
    </w:p>
    <w:p>
      <w:pPr>
        <w:pStyle w:val="ListBullet"/>
        <w:spacing w:after="40"/>
      </w:pPr>
      <w:r>
        <w:t>it produced the best overall doctor-relevant balance</w:t>
      </w:r>
    </w:p>
    <w:p>
      <w:pPr>
        <w:pStyle w:val="Heading2"/>
      </w:pPr>
      <w:r>
        <w:t>20 Extended model comparison</w:t>
      </w:r>
    </w:p>
    <w:p>
      <w:pPr>
        <w:spacing w:after="140"/>
      </w:pPr>
      <w:r>
        <w:rPr>
          <w:b w:val="0"/>
        </w:rPr>
        <w:t>Main comparison file:</w:t>
      </w:r>
    </w:p>
    <w:p>
      <w:pPr>
        <w:pStyle w:val="ListBullet"/>
        <w:spacing w:after="40"/>
      </w:pPr>
      <w:r>
        <w:t>research/outputs/novel/plasmaxai_extended_model_comparison.csv</w:t>
      </w:r>
    </w:p>
    <w:p>
      <w:pPr>
        <w:spacing w:after="140"/>
      </w:pPr>
      <w:r>
        <w:rPr>
          <w:b w:val="0"/>
        </w:rPr>
        <w:t>Final comparison:</w:t>
      </w:r>
    </w:p>
    <w:p>
      <w:pPr>
        <w:pStyle w:val="ListBullet"/>
        <w:spacing w:after="40"/>
      </w:pPr>
      <w:r>
        <w:t>PlasmaXAI</w:t>
      </w:r>
    </w:p>
    <w:p>
      <w:pPr>
        <w:spacing w:after="140"/>
      </w:pPr>
      <w:r>
        <w:rPr>
          <w:b w:val="0"/>
        </w:rPr>
        <w:t>- 93.42 accuracy - 93.43 weighted F1 - 91.24 plasma precision - 94.63 plasma recall - 97.76 AUC</w:t>
      </w:r>
    </w:p>
    <w:p>
      <w:pPr>
        <w:pStyle w:val="ListBullet"/>
        <w:spacing w:after="40"/>
      </w:pPr>
      <w:r>
        <w:t>ResNet50</w:t>
      </w:r>
    </w:p>
    <w:p>
      <w:pPr>
        <w:spacing w:after="140"/>
      </w:pPr>
      <w:r>
        <w:rPr>
          <w:b w:val="0"/>
        </w:rPr>
        <w:t>- 91.92 accuracy - 89.02 plasma precision - 93.80 plasma recall - 97.05 AUC</w:t>
      </w:r>
    </w:p>
    <w:p>
      <w:pPr>
        <w:pStyle w:val="ListBullet"/>
        <w:spacing w:after="40"/>
      </w:pPr>
      <w:r>
        <w:t>Prev Hybrid</w:t>
      </w:r>
    </w:p>
    <w:p>
      <w:pPr>
        <w:spacing w:after="140"/>
      </w:pPr>
      <w:r>
        <w:rPr>
          <w:b w:val="0"/>
        </w:rPr>
        <w:t>- 91.73 accuracy - 90.91 plasma precision - 90.91 plasma recall - 97.12 AUC</w:t>
      </w:r>
    </w:p>
    <w:p>
      <w:pPr>
        <w:pStyle w:val="ListBullet"/>
        <w:spacing w:after="40"/>
      </w:pPr>
      <w:r>
        <w:t>DenseNet121</w:t>
      </w:r>
    </w:p>
    <w:p>
      <w:pPr>
        <w:spacing w:after="140"/>
      </w:pPr>
      <w:r>
        <w:rPr>
          <w:b w:val="0"/>
        </w:rPr>
        <w:t>- 89.85 accuracy - 90.17 plasma precision - 87.19 plasma recall - 96.36 AUC</w:t>
      </w:r>
    </w:p>
    <w:p>
      <w:pPr>
        <w:pStyle w:val="ListBullet"/>
        <w:spacing w:after="40"/>
      </w:pPr>
      <w:r>
        <w:t>Morph XGBoost</w:t>
      </w:r>
    </w:p>
    <w:p>
      <w:pPr>
        <w:spacing w:after="140"/>
      </w:pPr>
      <w:r>
        <w:rPr>
          <w:b w:val="0"/>
        </w:rPr>
        <w:t>- 84.96 accuracy - 80.22 plasma precision - 88.84 plasma recall - 92.94 AUC</w:t>
      </w:r>
    </w:p>
    <w:p>
      <w:pPr>
        <w:pStyle w:val="ListBullet"/>
        <w:spacing w:after="40"/>
      </w:pPr>
      <w:r>
        <w:t>Morph Random Forest</w:t>
      </w:r>
    </w:p>
    <w:p>
      <w:pPr>
        <w:spacing w:after="140"/>
      </w:pPr>
      <w:r>
        <w:rPr>
          <w:b w:val="0"/>
        </w:rPr>
        <w:t>- 83.27 accuracy - 77.62 plasma precision - 88.84 plasma recall - 92.08 AUC</w:t>
      </w:r>
    </w:p>
    <w:p>
      <w:pPr>
        <w:pStyle w:val="ListBullet"/>
        <w:spacing w:after="40"/>
      </w:pPr>
      <w:r>
        <w:t>Morph RBF-SVM</w:t>
      </w:r>
    </w:p>
    <w:p>
      <w:pPr>
        <w:spacing w:after="140"/>
      </w:pPr>
      <w:r>
        <w:rPr>
          <w:b w:val="0"/>
        </w:rPr>
        <w:t>- 80.26 accuracy - 74.04 plasma precision - 87.19 plasma recall - 90.89 AUC</w:t>
      </w:r>
    </w:p>
    <w:p>
      <w:pPr>
        <w:pStyle w:val="ListBullet"/>
        <w:spacing w:after="40"/>
      </w:pPr>
      <w:r>
        <w:t>Morph Logistic Regression</w:t>
      </w:r>
    </w:p>
    <w:p>
      <w:pPr>
        <w:spacing w:after="140"/>
      </w:pPr>
      <w:r>
        <w:rPr>
          <w:b w:val="0"/>
        </w:rPr>
        <w:t>- 78.38 accuracy - 70.42 plasma precision - 90.50 plasma recall - 87.76 AUC</w:t>
      </w:r>
    </w:p>
    <w:p>
      <w:pPr>
        <w:spacing w:after="140"/>
      </w:pPr>
      <w:r>
        <w:rPr>
          <w:b w:val="0"/>
        </w:rPr>
        <w:t>Main conclusion: PlasmaXAI is the strongest overall system when the practically relevant trio of accuracy, plasma precision, and plasma recall are considered together.</w:t>
      </w:r>
    </w:p>
    <w:p>
      <w:pPr>
        <w:pStyle w:val="Heading2"/>
      </w:pPr>
      <w:r>
        <w:t>21 Ablation study details</w:t>
      </w:r>
    </w:p>
    <w:p>
      <w:pPr>
        <w:spacing w:after="140"/>
      </w:pPr>
      <w:r>
        <w:rPr>
          <w:b w:val="0"/>
        </w:rPr>
        <w:t>Main ablation files:</w:t>
      </w:r>
    </w:p>
    <w:p>
      <w:pPr>
        <w:pStyle w:val="ListBullet"/>
        <w:spacing w:after="40"/>
      </w:pPr>
      <w:r>
        <w:t>research/outputs/novel/ablation_results.csv</w:t>
      </w:r>
    </w:p>
    <w:p>
      <w:pPr>
        <w:pStyle w:val="ListBullet"/>
        <w:spacing w:after="40"/>
      </w:pPr>
      <w:r>
        <w:t>research/outputs/novel/plasmaxai_ablation_results.csv</w:t>
      </w:r>
    </w:p>
    <w:p>
      <w:pPr>
        <w:spacing w:after="140"/>
      </w:pPr>
      <w:r>
        <w:rPr>
          <w:b w:val="0"/>
        </w:rPr>
        <w:t>Ablation modes:</w:t>
      </w:r>
    </w:p>
    <w:p>
      <w:pPr>
        <w:pStyle w:val="ListBullet"/>
        <w:spacing w:after="40"/>
      </w:pPr>
      <w:r>
        <w:t>Image Only</w:t>
      </w:r>
    </w:p>
    <w:p>
      <w:pPr>
        <w:pStyle w:val="ListBullet"/>
        <w:spacing w:after="40"/>
      </w:pPr>
      <w:r>
        <w:t>Without Morphology</w:t>
      </w:r>
    </w:p>
    <w:p>
      <w:pPr>
        <w:pStyle w:val="ListBullet"/>
        <w:spacing w:after="40"/>
      </w:pPr>
      <w:r>
        <w:t>Without Counterfactual Path</w:t>
      </w:r>
    </w:p>
    <w:p>
      <w:pPr>
        <w:pStyle w:val="ListBullet"/>
        <w:spacing w:after="40"/>
      </w:pPr>
      <w:r>
        <w:t>Full Novel Fusion</w:t>
      </w:r>
    </w:p>
    <w:p>
      <w:pPr>
        <w:spacing w:after="140"/>
      </w:pPr>
      <w:r>
        <w:rPr>
          <w:b w:val="0"/>
        </w:rPr>
        <w:t>Main ablation test results:</w:t>
      </w:r>
    </w:p>
    <w:p>
      <w:pPr>
        <w:pStyle w:val="ListBullet"/>
        <w:spacing w:after="40"/>
      </w:pPr>
      <w:r>
        <w:t>Image Only</w:t>
      </w:r>
    </w:p>
    <w:p>
      <w:pPr>
        <w:spacing w:after="140"/>
      </w:pPr>
      <w:r>
        <w:rPr>
          <w:b w:val="0"/>
        </w:rPr>
        <w:t>- accuracy: 93.42 - precision: 93.31 - recall: 92.15 - AUC: 97.57</w:t>
      </w:r>
    </w:p>
    <w:p>
      <w:pPr>
        <w:pStyle w:val="ListBullet"/>
        <w:spacing w:after="40"/>
      </w:pPr>
      <w:r>
        <w:t>Without Morphology</w:t>
      </w:r>
    </w:p>
    <w:p>
      <w:pPr>
        <w:spacing w:after="140"/>
      </w:pPr>
      <w:r>
        <w:rPr>
          <w:b w:val="0"/>
        </w:rPr>
        <w:t>- accuracy: 93.05 - precision: 91.16 - recall: 93.80 - AUC: 96.98</w:t>
      </w:r>
    </w:p>
    <w:p>
      <w:pPr>
        <w:pStyle w:val="ListBullet"/>
        <w:spacing w:after="40"/>
      </w:pPr>
      <w:r>
        <w:t>Without Counterfactual Path</w:t>
      </w:r>
    </w:p>
    <w:p>
      <w:pPr>
        <w:spacing w:after="140"/>
      </w:pPr>
      <w:r>
        <w:rPr>
          <w:b w:val="0"/>
        </w:rPr>
        <w:t>- accuracy: 90.23 - precision: 92.04 - recall: 85.95 - AUC: 97.62</w:t>
      </w:r>
    </w:p>
    <w:p>
      <w:pPr>
        <w:pStyle w:val="ListBullet"/>
        <w:spacing w:after="40"/>
      </w:pPr>
      <w:r>
        <w:t>Full Novel Fusion in the ablation run</w:t>
      </w:r>
    </w:p>
    <w:p>
      <w:pPr>
        <w:spacing w:after="140"/>
      </w:pPr>
      <w:r>
        <w:rPr>
          <w:b w:val="0"/>
        </w:rPr>
        <w:t>- accuracy: 91.73 - precision: 92.67 - recall: 88.84 - AUC: 97.79</w:t>
      </w:r>
    </w:p>
    <w:p>
      <w:pPr>
        <w:spacing w:after="140"/>
      </w:pPr>
      <w:r>
        <w:rPr>
          <w:b w:val="0"/>
        </w:rPr>
        <w:t>Most important interpretation: Removing the counterfactual path caused the clearest recall damage. That is the strongest experimental support for the claim that the counterfactual branch is functionally important, not decorative.</w:t>
      </w:r>
    </w:p>
    <w:p>
      <w:pPr>
        <w:pStyle w:val="Heading2"/>
      </w:pPr>
      <w:r>
        <w:t>22 Bootstrap reliability analysis</w:t>
      </w:r>
    </w:p>
    <w:p>
      <w:pPr>
        <w:spacing w:after="140"/>
      </w:pPr>
      <w:r>
        <w:rPr>
          <w:b w:val="0"/>
        </w:rPr>
        <w:t>Main file:</w:t>
      </w:r>
    </w:p>
    <w:p>
      <w:pPr>
        <w:pStyle w:val="ListBullet"/>
        <w:spacing w:after="40"/>
      </w:pPr>
      <w:r>
        <w:t>research/outputs/novel/bootstrap_summary.json</w:t>
      </w:r>
    </w:p>
    <w:p>
      <w:pPr>
        <w:spacing w:after="140"/>
      </w:pPr>
      <w:r>
        <w:rPr>
          <w:b w:val="0"/>
        </w:rPr>
        <w:t>The bootstrap function resamples the test set 1000 times with replacement and computes:</w:t>
      </w:r>
    </w:p>
    <w:p>
      <w:pPr>
        <w:pStyle w:val="ListBullet"/>
        <w:spacing w:after="40"/>
      </w:pPr>
      <w:r>
        <w:t>accuracy</w:t>
      </w:r>
    </w:p>
    <w:p>
      <w:pPr>
        <w:pStyle w:val="ListBullet"/>
        <w:spacing w:after="40"/>
      </w:pPr>
      <w:r>
        <w:t>weighted F1</w:t>
      </w:r>
    </w:p>
    <w:p>
      <w:pPr>
        <w:pStyle w:val="ListBullet"/>
        <w:spacing w:after="40"/>
      </w:pPr>
      <w:r>
        <w:t>plasma recall</w:t>
      </w:r>
    </w:p>
    <w:p>
      <w:pPr>
        <w:pStyle w:val="ListBullet"/>
        <w:spacing w:after="40"/>
      </w:pPr>
      <w:r>
        <w:t>AUC</w:t>
      </w:r>
    </w:p>
    <w:p>
      <w:pPr>
        <w:spacing w:after="140"/>
      </w:pPr>
      <w:r>
        <w:rPr>
          <w:b w:val="0"/>
        </w:rPr>
        <w:t>Preferred operating-point bootstrap summary:</w:t>
      </w:r>
    </w:p>
    <w:p>
      <w:pPr>
        <w:pStyle w:val="ListBullet"/>
        <w:spacing w:after="40"/>
      </w:pPr>
      <w:r>
        <w:t>Accuracy mean: 93.46%</w:t>
      </w:r>
    </w:p>
    <w:p>
      <w:pPr>
        <w:pStyle w:val="ListBullet"/>
        <w:spacing w:after="40"/>
      </w:pPr>
      <w:r>
        <w:t>Accuracy 95% CI: 91.16 to 95.30</w:t>
      </w:r>
    </w:p>
    <w:p>
      <w:pPr>
        <w:pStyle w:val="ListBullet"/>
        <w:spacing w:after="40"/>
      </w:pPr>
      <w:r>
        <w:t>Weighted F1 mean: 93.46%</w:t>
      </w:r>
    </w:p>
    <w:p>
      <w:pPr>
        <w:pStyle w:val="ListBullet"/>
        <w:spacing w:after="40"/>
      </w:pPr>
      <w:r>
        <w:t>Weighted F1 95% CI: 91.17 to 95.31</w:t>
      </w:r>
    </w:p>
    <w:p>
      <w:pPr>
        <w:pStyle w:val="ListBullet"/>
        <w:spacing w:after="40"/>
      </w:pPr>
      <w:r>
        <w:t>Plasma recall mean: 94.62%</w:t>
      </w:r>
    </w:p>
    <w:p>
      <w:pPr>
        <w:pStyle w:val="ListBullet"/>
        <w:spacing w:after="40"/>
      </w:pPr>
      <w:r>
        <w:t>Plasma recall 95% CI: 91.30 to 97.20</w:t>
      </w:r>
    </w:p>
    <w:p>
      <w:pPr>
        <w:pStyle w:val="ListBullet"/>
        <w:spacing w:after="40"/>
      </w:pPr>
      <w:r>
        <w:t>AUC mean: 97.77%</w:t>
      </w:r>
    </w:p>
    <w:p>
      <w:pPr>
        <w:pStyle w:val="ListBullet"/>
        <w:spacing w:after="40"/>
      </w:pPr>
      <w:r>
        <w:t>AUC 95% CI: 96.56 to 98.63</w:t>
      </w:r>
    </w:p>
    <w:p>
      <w:pPr>
        <w:spacing w:after="140"/>
      </w:pPr>
      <w:r>
        <w:rPr>
          <w:b w:val="0"/>
        </w:rPr>
        <w:t>Why this matters: These intervals demonstrate that the result is not based only on a single point estimate. The model remains strong across bootstrap resamples.</w:t>
      </w:r>
    </w:p>
    <w:p>
      <w:pPr>
        <w:pStyle w:val="Heading2"/>
      </w:pPr>
      <w:r>
        <w:t>23 Patient-level analysis details</w:t>
      </w:r>
    </w:p>
    <w:p>
      <w:pPr>
        <w:spacing w:after="140"/>
      </w:pPr>
      <w:r>
        <w:rPr>
          <w:b w:val="0"/>
        </w:rPr>
        <w:t>Main patient-level files:</w:t>
      </w:r>
    </w:p>
    <w:p>
      <w:pPr>
        <w:pStyle w:val="ListBullet"/>
        <w:spacing w:after="40"/>
      </w:pPr>
      <w:r>
        <w:t>patient_cell_predictions.csv</w:t>
      </w:r>
    </w:p>
    <w:p>
      <w:pPr>
        <w:pStyle w:val="ListBullet"/>
        <w:spacing w:after="40"/>
      </w:pPr>
      <w:r>
        <w:t>patient_counterfactual_summary.csv</w:t>
      </w:r>
    </w:p>
    <w:p>
      <w:pPr>
        <w:pStyle w:val="ListBullet"/>
        <w:spacing w:after="40"/>
      </w:pPr>
      <w:r>
        <w:t>plasmaxai_patient_robustness.json</w:t>
      </w:r>
    </w:p>
    <w:p>
      <w:pPr>
        <w:pStyle w:val="ListBullet"/>
        <w:spacing w:after="40"/>
      </w:pPr>
      <w:r>
        <w:t>plasmaxai_patient_lopo_auc.csv</w:t>
      </w:r>
    </w:p>
    <w:p>
      <w:pPr>
        <w:pStyle w:val="ListBullet"/>
        <w:spacing w:after="40"/>
      </w:pPr>
      <w:r>
        <w:t>plasmaxai_patient_permutation_auc.csv</w:t>
      </w:r>
    </w:p>
    <w:p>
      <w:pPr>
        <w:spacing w:after="140"/>
      </w:pPr>
      <w:r>
        <w:rPr>
          <w:b w:val="0"/>
        </w:rPr>
        <w:t>Patient analysis pipeline:</w:t>
      </w:r>
    </w:p>
    <w:p>
      <w:pPr>
        <w:pStyle w:val="Heading2"/>
      </w:pPr>
      <w:r>
        <w:t>1 read Set 2 patient folders</w:t>
      </w:r>
    </w:p>
    <w:p>
      <w:pPr>
        <w:pStyle w:val="Heading2"/>
      </w:pPr>
      <w:r>
        <w:t>2 read diagnosis.csv</w:t>
      </w:r>
    </w:p>
    <w:p>
      <w:pPr>
        <w:pStyle w:val="Heading2"/>
      </w:pPr>
      <w:r>
        <w:t>3 parse YOLO-style label files</w:t>
      </w:r>
    </w:p>
    <w:p>
      <w:pPr>
        <w:pStyle w:val="Heading2"/>
      </w:pPr>
      <w:r>
        <w:t>4 crop individual cells from full images</w:t>
      </w:r>
    </w:p>
    <w:p>
      <w:pPr>
        <w:pStyle w:val="Heading2"/>
      </w:pPr>
      <w:r>
        <w:t>5 add 10% padding around each crop</w:t>
      </w:r>
    </w:p>
    <w:p>
      <w:pPr>
        <w:pStyle w:val="Heading2"/>
      </w:pPr>
      <w:r>
        <w:t>6 map plasma to the positive class</w:t>
      </w:r>
    </w:p>
    <w:p>
      <w:pPr>
        <w:pStyle w:val="Heading2"/>
      </w:pPr>
      <w:r>
        <w:t>7 extract ResNet and DenseNet embeddings for each crop</w:t>
      </w:r>
    </w:p>
    <w:p>
      <w:pPr>
        <w:pStyle w:val="Heading2"/>
      </w:pPr>
      <w:r>
        <w:t>8 extract morphology features for each crop</w:t>
      </w:r>
    </w:p>
    <w:p>
      <w:pPr>
        <w:pStyle w:val="Heading2"/>
      </w:pPr>
      <w:r>
        <w:t>9 compute counterfactual features for each crop</w:t>
      </w:r>
    </w:p>
    <w:p>
      <w:pPr>
        <w:pStyle w:val="Heading2"/>
      </w:pPr>
      <w:r>
        <w:t>10 run fusion inference on each crop</w:t>
      </w:r>
    </w:p>
    <w:p>
      <w:pPr>
        <w:pStyle w:val="Heading2"/>
      </w:pPr>
      <w:r>
        <w:t>11 aggregate crop outputs to patient summaries</w:t>
      </w:r>
    </w:p>
    <w:p>
      <w:pPr>
        <w:spacing w:after="140"/>
      </w:pPr>
      <w:r>
        <w:rPr>
          <w:b w:val="0"/>
        </w:rPr>
        <w:t>Patient summary fields include:</w:t>
      </w:r>
    </w:p>
    <w:p>
      <w:pPr>
        <w:pStyle w:val="ListBullet"/>
        <w:spacing w:after="40"/>
      </w:pPr>
      <w:r>
        <w:t>mean_novel_prob</w:t>
      </w:r>
    </w:p>
    <w:p>
      <w:pPr>
        <w:pStyle w:val="ListBullet"/>
        <w:spacing w:after="40"/>
      </w:pPr>
      <w:r>
        <w:t>mean_plasma_prob_cells</w:t>
      </w:r>
    </w:p>
    <w:p>
      <w:pPr>
        <w:pStyle w:val="ListBullet"/>
        <w:spacing w:after="40"/>
      </w:pPr>
      <w:r>
        <w:t>gt_plasma_fraction</w:t>
      </w:r>
    </w:p>
    <w:p>
      <w:pPr>
        <w:pStyle w:val="ListBullet"/>
        <w:spacing w:after="40"/>
      </w:pPr>
      <w:r>
        <w:t>mean_cf_distance_plasma</w:t>
      </w:r>
    </w:p>
    <w:p>
      <w:pPr>
        <w:pStyle w:val="ListBullet"/>
        <w:spacing w:after="40"/>
      </w:pPr>
      <w:r>
        <w:t>cf_consistency</w:t>
      </w:r>
    </w:p>
    <w:p>
      <w:pPr>
        <w:pStyle w:val="ListBullet"/>
        <w:spacing w:after="40"/>
      </w:pPr>
      <w:r>
        <w:t>gate_cf_mean</w:t>
      </w:r>
    </w:p>
    <w:p>
      <w:pPr>
        <w:pStyle w:val="ListBullet"/>
        <w:spacing w:after="40"/>
      </w:pPr>
      <w:r>
        <w:t>top_counterfactual_feature</w:t>
      </w:r>
    </w:p>
    <w:p>
      <w:pPr>
        <w:spacing w:after="140"/>
      </w:pPr>
      <w:r>
        <w:rPr>
          <w:b w:val="0"/>
        </w:rPr>
        <w:t>Internal patient-level findings:</w:t>
      </w:r>
    </w:p>
    <w:p>
      <w:pPr>
        <w:pStyle w:val="ListBullet"/>
        <w:spacing w:after="40"/>
      </w:pPr>
      <w:r>
        <w:t>10 patients total</w:t>
      </w:r>
    </w:p>
    <w:p>
      <w:pPr>
        <w:pStyle w:val="ListBullet"/>
        <w:spacing w:after="40"/>
      </w:pPr>
      <w:r>
        <w:t>5 diseased</w:t>
      </w:r>
    </w:p>
    <w:p>
      <w:pPr>
        <w:pStyle w:val="ListBullet"/>
        <w:spacing w:after="40"/>
      </w:pPr>
      <w:r>
        <w:t>5 normal</w:t>
      </w:r>
    </w:p>
    <w:p>
      <w:pPr>
        <w:pStyle w:val="ListBullet"/>
        <w:spacing w:after="40"/>
      </w:pPr>
      <w:r>
        <w:t>patient AUC using mean novel probability = 1.000</w:t>
      </w:r>
    </w:p>
    <w:p>
      <w:pPr>
        <w:pStyle w:val="ListBullet"/>
        <w:spacing w:after="40"/>
      </w:pPr>
      <w:r>
        <w:t>one-sided exact permutation p = 0.0040</w:t>
      </w:r>
    </w:p>
    <w:p>
      <w:pPr>
        <w:pStyle w:val="ListBullet"/>
        <w:spacing w:after="40"/>
      </w:pPr>
      <w:r>
        <w:t>two-sided exact permutation p = 0.0079</w:t>
      </w:r>
    </w:p>
    <w:p>
      <w:pPr>
        <w:pStyle w:val="ListBullet"/>
        <w:spacing w:after="40"/>
      </w:pPr>
      <w:r>
        <w:t>leave-one-patient-out AUC mean = 1.000</w:t>
      </w:r>
    </w:p>
    <w:p>
      <w:pPr>
        <w:pStyle w:val="ListBullet"/>
        <w:spacing w:after="40"/>
      </w:pPr>
      <w:r>
        <w:t>top separating features = mean_r, mean_g, mean_b</w:t>
      </w:r>
    </w:p>
    <w:p>
      <w:pPr>
        <w:spacing w:after="140"/>
      </w:pPr>
      <w:r>
        <w:rPr>
          <w:b w:val="0"/>
        </w:rPr>
        <w:t>Required caution: These results are internally strong but exploratory. They are based on a very small same-source cohort and are not a substitute for external validation.</w:t>
      </w:r>
    </w:p>
    <w:p>
      <w:pPr>
        <w:pStyle w:val="Heading2"/>
      </w:pPr>
      <w:r>
        <w:t>24 Explainability and doctor-facing interpretation</w:t>
      </w:r>
    </w:p>
    <w:p>
      <w:pPr>
        <w:spacing w:after="140"/>
      </w:pPr>
      <w:r>
        <w:rPr>
          <w:b w:val="0"/>
        </w:rPr>
        <w:t>Explainability assets include:</w:t>
      </w:r>
    </w:p>
    <w:p>
      <w:pPr>
        <w:pStyle w:val="ListBullet"/>
        <w:spacing w:after="40"/>
      </w:pPr>
      <w:r>
        <w:t>fig6_counterfactual_analysis.png</w:t>
      </w:r>
    </w:p>
    <w:p>
      <w:pPr>
        <w:pStyle w:val="ListBullet"/>
        <w:spacing w:after="40"/>
      </w:pPr>
      <w:r>
        <w:t>novel_fig4_gates_counterfactuals.png</w:t>
      </w:r>
    </w:p>
    <w:p>
      <w:pPr>
        <w:pStyle w:val="ListBullet"/>
        <w:spacing w:after="40"/>
      </w:pPr>
      <w:r>
        <w:t>plasmaxai_fig4_counterfactual_explanation.png</w:t>
      </w:r>
    </w:p>
    <w:p>
      <w:pPr>
        <w:pStyle w:val="ListBullet"/>
        <w:spacing w:after="40"/>
      </w:pPr>
      <w:r>
        <w:t>novel_fig6_clinical_insight.png</w:t>
      </w:r>
    </w:p>
    <w:p>
      <w:pPr>
        <w:pStyle w:val="ListBullet"/>
        <w:spacing w:after="40"/>
      </w:pPr>
      <w:r>
        <w:t>plasmaxai_fig6_clinical_insight.png</w:t>
      </w:r>
    </w:p>
    <w:p>
      <w:pPr>
        <w:pStyle w:val="ListBullet"/>
        <w:spacing w:after="40"/>
      </w:pPr>
      <w:r>
        <w:t>clinical_insight_report.txt</w:t>
      </w:r>
    </w:p>
    <w:p>
      <w:pPr>
        <w:spacing w:after="140"/>
      </w:pPr>
      <w:r>
        <w:rPr>
          <w:b w:val="0"/>
        </w:rPr>
        <w:t>Explainability design philosophy:</w:t>
      </w:r>
    </w:p>
    <w:p>
      <w:pPr>
        <w:pStyle w:val="ListBullet"/>
        <w:spacing w:after="40"/>
      </w:pPr>
      <w:r>
        <w:t>do not only show developer-oriented model traces</w:t>
      </w:r>
    </w:p>
    <w:p>
      <w:pPr>
        <w:pStyle w:val="ListBullet"/>
        <w:spacing w:after="40"/>
      </w:pPr>
      <w:r>
        <w:t>provide clinically interpretable counterfactual cues</w:t>
      </w:r>
    </w:p>
    <w:p>
      <w:pPr>
        <w:pStyle w:val="ListBullet"/>
        <w:spacing w:after="40"/>
      </w:pPr>
      <w:r>
        <w:t>indicate what changes would lower suspicion</w:t>
      </w:r>
    </w:p>
    <w:p>
      <w:pPr>
        <w:pStyle w:val="ListBullet"/>
        <w:spacing w:after="40"/>
      </w:pPr>
      <w:r>
        <w:t>support doctor review rather than replace it</w:t>
      </w:r>
    </w:p>
    <w:p>
      <w:pPr>
        <w:spacing w:after="140"/>
      </w:pPr>
      <w:r>
        <w:rPr>
          <w:b w:val="0"/>
        </w:rPr>
        <w:t>One internal clinical-insight finding:</w:t>
      </w:r>
    </w:p>
    <w:p>
      <w:pPr>
        <w:pStyle w:val="ListBullet"/>
        <w:spacing w:after="40"/>
      </w:pPr>
      <w:r>
        <w:t>diseased patients showed a reproducible counterfactual signature centered on</w:t>
      </w:r>
    </w:p>
    <w:p>
      <w:pPr>
        <w:spacing w:after="140"/>
      </w:pPr>
      <w:r>
        <w:rPr>
          <w:b w:val="0"/>
        </w:rPr>
        <w:t>mean_r, mean_g, and mean_b</w:t>
      </w:r>
    </w:p>
    <w:p>
      <w:pPr>
        <w:spacing w:after="140"/>
      </w:pPr>
      <w:r>
        <w:rPr>
          <w:b w:val="0"/>
        </w:rPr>
        <w:t>This is stated honestly as an internal, clinically interesting signal, not as final externally validated biological proof.</w:t>
      </w:r>
    </w:p>
    <w:p>
      <w:pPr>
        <w:pStyle w:val="Heading2"/>
      </w:pPr>
      <w:r>
        <w:t>25 Website translation and doctor-facing workflow</w:t>
      </w:r>
    </w:p>
    <w:p>
      <w:pPr>
        <w:spacing w:after="140"/>
      </w:pPr>
      <w:r>
        <w:rPr>
          <w:b w:val="0"/>
        </w:rPr>
        <w:t>Website folder:</w:t>
      </w:r>
    </w:p>
    <w:p>
      <w:pPr>
        <w:pStyle w:val="ListBullet"/>
        <w:spacing w:after="40"/>
      </w:pPr>
      <w:r>
        <w:t>F:\BUET plasma\apps\web</w:t>
      </w:r>
    </w:p>
    <w:p>
      <w:pPr>
        <w:spacing w:after="140"/>
      </w:pPr>
      <w:r>
        <w:rPr>
          <w:b w:val="0"/>
        </w:rPr>
        <w:t>The website includes:</w:t>
      </w:r>
    </w:p>
    <w:p>
      <w:pPr>
        <w:pStyle w:val="ListBullet"/>
        <w:spacing w:after="40"/>
      </w:pPr>
      <w:r>
        <w:t>login and registration screens</w:t>
      </w:r>
    </w:p>
    <w:p>
      <w:pPr>
        <w:pStyle w:val="ListBullet"/>
        <w:spacing w:after="40"/>
      </w:pPr>
      <w:r>
        <w:t>doctor dashboard</w:t>
      </w:r>
    </w:p>
    <w:p>
      <w:pPr>
        <w:pStyle w:val="ListBullet"/>
        <w:spacing w:after="40"/>
      </w:pPr>
      <w:r>
        <w:t>new-case upload flow</w:t>
      </w:r>
    </w:p>
    <w:p>
      <w:pPr>
        <w:pStyle w:val="ListBullet"/>
        <w:spacing w:after="40"/>
      </w:pPr>
      <w:r>
        <w:t>case review page</w:t>
      </w:r>
    </w:p>
    <w:p>
      <w:pPr>
        <w:pStyle w:val="ListBullet"/>
        <w:spacing w:after="40"/>
      </w:pPr>
      <w:r>
        <w:t>patient directory</w:t>
      </w:r>
    </w:p>
    <w:p>
      <w:pPr>
        <w:pStyle w:val="ListBullet"/>
        <w:spacing w:after="40"/>
      </w:pPr>
      <w:r>
        <w:t>patient profile page</w:t>
      </w:r>
    </w:p>
    <w:p>
      <w:pPr>
        <w:pStyle w:val="ListBullet"/>
        <w:spacing w:after="40"/>
      </w:pPr>
      <w:r>
        <w:t>report download</w:t>
      </w:r>
    </w:p>
    <w:p>
      <w:pPr>
        <w:pStyle w:val="ListBullet"/>
        <w:spacing w:after="40"/>
      </w:pPr>
      <w:r>
        <w:t>doctor notes</w:t>
      </w:r>
    </w:p>
    <w:p>
      <w:pPr>
        <w:pStyle w:val="ListBullet"/>
        <w:spacing w:after="40"/>
      </w:pPr>
      <w:r>
        <w:t>patient CRUD in local mode</w:t>
      </w:r>
    </w:p>
    <w:p>
      <w:pPr>
        <w:spacing w:after="140"/>
      </w:pPr>
      <w:r>
        <w:rPr>
          <w:b w:val="0"/>
        </w:rPr>
        <w:t>The intent of the website is to demonstrate that the research can be surfaced inside a clinical review interface rather than staying trapped inside notebook cells and static plots.</w:t>
      </w:r>
    </w:p>
    <w:p>
      <w:pPr>
        <w:spacing w:after="140"/>
      </w:pPr>
      <w:r>
        <w:rPr>
          <w:b w:val="0"/>
        </w:rPr>
        <w:t>The website stack includes:</w:t>
      </w:r>
    </w:p>
    <w:p>
      <w:pPr>
        <w:pStyle w:val="ListBullet"/>
        <w:spacing w:after="40"/>
      </w:pPr>
      <w:r>
        <w:t>Next.js 16.2.2</w:t>
      </w:r>
    </w:p>
    <w:p>
      <w:pPr>
        <w:pStyle w:val="ListBullet"/>
        <w:spacing w:after="40"/>
      </w:pPr>
      <w:r>
        <w:t>React 19.2.4</w:t>
      </w:r>
    </w:p>
    <w:p>
      <w:pPr>
        <w:pStyle w:val="ListBullet"/>
        <w:spacing w:after="40"/>
      </w:pPr>
      <w:r>
        <w:t>TypeScript</w:t>
      </w:r>
    </w:p>
    <w:p>
      <w:pPr>
        <w:pStyle w:val="ListBullet"/>
        <w:spacing w:after="40"/>
      </w:pPr>
      <w:r>
        <w:t>Bootstrap Icons</w:t>
      </w:r>
    </w:p>
    <w:p>
      <w:pPr>
        <w:pStyle w:val="ListBullet"/>
        <w:spacing w:after="40"/>
      </w:pPr>
      <w:r>
        <w:t>Framer Motion</w:t>
      </w:r>
    </w:p>
    <w:p>
      <w:pPr>
        <w:pStyle w:val="ListBullet"/>
        <w:spacing w:after="40"/>
      </w:pPr>
      <w:r>
        <w:t>Recharts</w:t>
      </w:r>
    </w:p>
    <w:p>
      <w:pPr>
        <w:pStyle w:val="ListBullet"/>
        <w:spacing w:after="40"/>
      </w:pPr>
      <w:r>
        <w:t>Supabase-ready auth/data/storage wiring</w:t>
      </w:r>
    </w:p>
    <w:p>
      <w:pPr>
        <w:pStyle w:val="Heading2"/>
      </w:pPr>
      <w:r>
        <w:t>26 Vercel deployment readiness</w:t>
      </w:r>
    </w:p>
    <w:p>
      <w:pPr>
        <w:spacing w:after="140"/>
      </w:pPr>
      <w:r>
        <w:rPr>
          <w:b w:val="0"/>
        </w:rPr>
        <w:t>To make the repository Vercel-deployment-ready, the following were added:</w:t>
      </w:r>
    </w:p>
    <w:p>
      <w:pPr>
        <w:spacing w:after="140"/>
      </w:pPr>
      <w:r>
        <w:rPr>
          <w:b w:val="0"/>
        </w:rPr>
        <w:t>Website side:</w:t>
      </w:r>
    </w:p>
    <w:p>
      <w:pPr>
        <w:pStyle w:val="ListBullet"/>
        <w:spacing w:after="40"/>
      </w:pPr>
      <w:r>
        <w:t>updated `apps/web/README.md`</w:t>
      </w:r>
    </w:p>
    <w:p>
      <w:pPr>
        <w:pStyle w:val="ListBullet"/>
        <w:spacing w:after="40"/>
      </w:pPr>
      <w:r>
        <w:t>updated `apps/web/.env.example`</w:t>
      </w:r>
    </w:p>
    <w:p>
      <w:pPr>
        <w:pStyle w:val="ListBullet"/>
        <w:spacing w:after="40"/>
      </w:pPr>
      <w:r>
        <w:t>safer hosted inference behavior in `src/lib/inference/service.ts`</w:t>
      </w:r>
    </w:p>
    <w:p>
      <w:pPr>
        <w:spacing w:after="140"/>
      </w:pPr>
      <w:r>
        <w:rPr>
          <w:b w:val="0"/>
        </w:rPr>
        <w:t>Inference side:</w:t>
      </w:r>
    </w:p>
    <w:p>
      <w:pPr>
        <w:pStyle w:val="ListBullet"/>
        <w:spacing w:after="40"/>
      </w:pPr>
      <w:r>
        <w:t>`apps/inference/app/app.py`</w:t>
      </w:r>
    </w:p>
    <w:p>
      <w:pPr>
        <w:pStyle w:val="ListBullet"/>
        <w:spacing w:after="40"/>
      </w:pPr>
      <w:r>
        <w:t>`apps/inference/build.py`</w:t>
      </w:r>
    </w:p>
    <w:p>
      <w:pPr>
        <w:pStyle w:val="ListBullet"/>
        <w:spacing w:after="40"/>
      </w:pPr>
      <w:r>
        <w:t>`apps/inference/pyproject.toml`</w:t>
      </w:r>
    </w:p>
    <w:p>
      <w:pPr>
        <w:pStyle w:val="ListBullet"/>
        <w:spacing w:after="40"/>
      </w:pPr>
      <w:r>
        <w:t>updated `apps/inference/README.md`</w:t>
      </w:r>
    </w:p>
    <w:p>
      <w:pPr>
        <w:pStyle w:val="ListBullet"/>
        <w:spacing w:after="40"/>
      </w:pPr>
      <w:r>
        <w:t>switched to `opencv-python-headless`</w:t>
      </w:r>
    </w:p>
    <w:p>
      <w:pPr>
        <w:spacing w:after="140"/>
      </w:pPr>
      <w:r>
        <w:rPr>
          <w:b w:val="0"/>
        </w:rPr>
        <w:t>Repo-level deployment guide:</w:t>
      </w:r>
    </w:p>
    <w:p>
      <w:pPr>
        <w:pStyle w:val="ListBullet"/>
        <w:spacing w:after="40"/>
      </w:pPr>
      <w:r>
        <w:t>`docs/VERCEL_DEPLOYMENT_READY.md`</w:t>
      </w:r>
    </w:p>
    <w:p>
      <w:pPr>
        <w:pStyle w:val="ListBullet"/>
        <w:spacing w:after="40"/>
      </w:pPr>
      <w:r>
        <w:t>root `vercel.json`</w:t>
      </w:r>
    </w:p>
    <w:p>
      <w:pPr>
        <w:spacing w:after="140"/>
      </w:pPr>
      <w:r>
        <w:rPr>
          <w:b w:val="0"/>
        </w:rPr>
        <w:t>Recommended deployment shape:</w:t>
      </w:r>
    </w:p>
    <w:p>
      <w:pPr>
        <w:pStyle w:val="ListBullet"/>
        <w:spacing w:after="40"/>
      </w:pPr>
      <w:r>
        <w:t>one Vercel project from the repository root</w:t>
      </w:r>
    </w:p>
    <w:p>
      <w:pPr>
        <w:pStyle w:val="ListBullet"/>
        <w:spacing w:after="40"/>
      </w:pPr>
      <w:r>
        <w:t>Framework Preset = `Services`</w:t>
      </w:r>
    </w:p>
    <w:p>
      <w:pPr>
        <w:pStyle w:val="ListBullet"/>
        <w:spacing w:after="40"/>
      </w:pPr>
      <w:r>
        <w:t>`apps/web` mounted at `/`</w:t>
      </w:r>
    </w:p>
    <w:p>
      <w:pPr>
        <w:pStyle w:val="ListBullet"/>
        <w:spacing w:after="40"/>
      </w:pPr>
      <w:r>
        <w:t>`apps/inference` mounted at `/api/inference`</w:t>
      </w:r>
    </w:p>
    <w:p>
      <w:pPr>
        <w:pStyle w:val="ListBullet"/>
        <w:spacing w:after="40"/>
      </w:pPr>
      <w:r>
        <w:t>Supabase for auth, data, and storage</w:t>
      </w:r>
    </w:p>
    <w:p>
      <w:pPr>
        <w:spacing w:after="140"/>
      </w:pPr>
      <w:r>
        <w:rPr>
          <w:b w:val="0"/>
        </w:rPr>
        <w:t>Important honesty note: This makes the repo deployment-ready from a code/configuration perspective, but PyTorch inference on serverless infrastructure can still face cold-start and runtime-size constraints. A dedicated persistent inference host may still be the better long-term production target.</w:t>
      </w:r>
    </w:p>
    <w:p>
      <w:pPr>
        <w:pStyle w:val="Heading2"/>
      </w:pPr>
      <w:r>
        <w:t>27 GitHub packaging truth</w:t>
      </w:r>
    </w:p>
    <w:p>
      <w:pPr>
        <w:spacing w:after="140"/>
      </w:pPr>
      <w:r>
        <w:rPr>
          <w:b w:val="0"/>
        </w:rPr>
        <w:t>Repository: https://github.com/Arnob10150/PlasmaXAI.git</w:t>
      </w:r>
    </w:p>
    <w:p>
      <w:pPr>
        <w:spacing w:after="140"/>
      </w:pPr>
      <w:r>
        <w:rPr>
          <w:b w:val="0"/>
        </w:rPr>
        <w:t>Pushed website tag:</w:t>
      </w:r>
    </w:p>
    <w:p>
      <w:pPr>
        <w:pStyle w:val="ListBullet"/>
        <w:spacing w:after="40"/>
      </w:pPr>
      <w:r>
        <w:t>v1.2.0</w:t>
      </w:r>
    </w:p>
    <w:p>
      <w:pPr>
        <w:spacing w:after="140"/>
      </w:pPr>
      <w:r>
        <w:rPr>
          <w:b w:val="0"/>
        </w:rPr>
        <w:t>Pushed core items include:</w:t>
      </w:r>
    </w:p>
    <w:p>
      <w:pPr>
        <w:pStyle w:val="ListBullet"/>
        <w:spacing w:after="40"/>
      </w:pPr>
      <w:r>
        <w:t>artifacts/models/best_plasmaxai.pth</w:t>
      </w:r>
    </w:p>
    <w:p>
      <w:pPr>
        <w:pStyle w:val="ListBullet"/>
        <w:spacing w:after="40"/>
      </w:pPr>
      <w:r>
        <w:t>research/outputs/novel/novel_fusion_model.pth</w:t>
      </w:r>
    </w:p>
    <w:p>
      <w:pPr>
        <w:pStyle w:val="ListBullet"/>
        <w:spacing w:after="40"/>
      </w:pPr>
      <w:r>
        <w:t>apps/web</w:t>
      </w:r>
    </w:p>
    <w:p>
      <w:pPr>
        <w:pStyle w:val="ListBullet"/>
        <w:spacing w:after="40"/>
      </w:pPr>
      <w:r>
        <w:t>apps/inference</w:t>
      </w:r>
    </w:p>
    <w:p>
      <w:pPr>
        <w:pStyle w:val="ListBullet"/>
        <w:spacing w:after="40"/>
      </w:pPr>
      <w:r>
        <w:t>research/package</w:t>
      </w:r>
    </w:p>
    <w:p>
      <w:pPr>
        <w:spacing w:after="140"/>
      </w:pPr>
      <w:r>
        <w:rPr>
          <w:b w:val="0"/>
        </w:rPr>
        <w:t>Not literally every local file was pushed. A few large or redundant files were intentionally excluded, including:</w:t>
      </w:r>
    </w:p>
    <w:p>
      <w:pPr>
        <w:pStyle w:val="ListBullet"/>
        <w:spacing w:after="40"/>
      </w:pPr>
      <w:r>
        <w:t>data/archives/PCMMD Plasma Cells for Multiple Myeloma Diagnosis.zip</w:t>
      </w:r>
    </w:p>
    <w:p>
      <w:pPr>
        <w:pStyle w:val="ListBullet"/>
        <w:spacing w:after="40"/>
      </w:pPr>
      <w:r>
        <w:t>research/outputs/optimization/checkpoints/convnext_tiny_search.pth</w:t>
      </w:r>
    </w:p>
    <w:p>
      <w:pPr>
        <w:pStyle w:val="ListBullet"/>
        <w:spacing w:after="40"/>
      </w:pPr>
      <w:r>
        <w:t>research/outputs/optimization/checkpoints/convnext_tiny_final.pth</w:t>
      </w:r>
    </w:p>
    <w:p>
      <w:pPr>
        <w:spacing w:after="140"/>
      </w:pPr>
      <w:r>
        <w:rPr>
          <w:b w:val="0"/>
        </w:rPr>
        <w:t>This means the repo contains the main research and deployment package, but not every oversized redundant local artifact.</w:t>
      </w:r>
    </w:p>
    <w:p>
      <w:pPr>
        <w:pStyle w:val="Heading2"/>
      </w:pPr>
      <w:r>
        <w:t>28 Limitations</w:t>
      </w:r>
    </w:p>
    <w:p>
      <w:pPr>
        <w:spacing w:after="140"/>
      </w:pPr>
      <w:r>
        <w:rPr>
          <w:b w:val="0"/>
        </w:rPr>
        <w:t>Scientific limitations:</w:t>
      </w:r>
    </w:p>
    <w:p>
      <w:pPr>
        <w:pStyle w:val="ListBullet"/>
        <w:spacing w:after="40"/>
      </w:pPr>
      <w:r>
        <w:t>no external multi-center validation</w:t>
      </w:r>
    </w:p>
    <w:p>
      <w:pPr>
        <w:pStyle w:val="ListBullet"/>
        <w:spacing w:after="40"/>
      </w:pPr>
      <w:r>
        <w:t>patient-level cohort is very small</w:t>
      </w:r>
    </w:p>
    <w:p>
      <w:pPr>
        <w:pStyle w:val="ListBullet"/>
        <w:spacing w:after="40"/>
      </w:pPr>
      <w:r>
        <w:t>same-source exploratory patient analysis can be optimistic</w:t>
      </w:r>
    </w:p>
    <w:p>
      <w:pPr>
        <w:spacing w:after="140"/>
      </w:pPr>
      <w:r>
        <w:rPr>
          <w:b w:val="0"/>
        </w:rPr>
        <w:t>Deployment limitations:</w:t>
      </w:r>
    </w:p>
    <w:p>
      <w:pPr>
        <w:pStyle w:val="ListBullet"/>
        <w:spacing w:after="40"/>
      </w:pPr>
      <w:r>
        <w:t>hosted persistence requires proper Supabase configuration</w:t>
      </w:r>
    </w:p>
    <w:p>
      <w:pPr>
        <w:pStyle w:val="ListBullet"/>
        <w:spacing w:after="40"/>
      </w:pPr>
      <w:r>
        <w:t>local fallback mode is for local evaluation, not production persistence</w:t>
      </w:r>
    </w:p>
    <w:p>
      <w:pPr>
        <w:pStyle w:val="ListBullet"/>
        <w:spacing w:after="40"/>
      </w:pPr>
      <w:r>
        <w:t>PyTorch inference on Vercel can still be operationally constrained</w:t>
      </w:r>
    </w:p>
    <w:p>
      <w:pPr>
        <w:spacing w:after="140"/>
      </w:pPr>
      <w:r>
        <w:rPr>
          <w:b w:val="0"/>
        </w:rPr>
        <w:t>Claim boundary: The strongest honest claim is not "fully clinically proven". The strongest honest claim is: "PlasmaXAI is a high-performing, explainable, counterfactual-guided plasma-cell screening framework with a credible path toward clinician-in-the- loop deployment."</w:t>
      </w:r>
    </w:p>
    <w:p>
      <w:pPr>
        <w:pStyle w:val="Heading2"/>
      </w:pPr>
      <w:r>
        <w:t>29 Key artifact checklist</w:t>
      </w:r>
    </w:p>
    <w:p>
      <w:pPr>
        <w:spacing w:after="140"/>
      </w:pPr>
      <w:r>
        <w:rPr>
          <w:b w:val="0"/>
        </w:rPr>
        <w:t>Notebook baseline:</w:t>
      </w:r>
    </w:p>
    <w:p>
      <w:pPr>
        <w:pStyle w:val="ListBullet"/>
        <w:spacing w:after="40"/>
      </w:pPr>
      <w:r>
        <w:t>research/notebooks/PlasmaXAI.ipynb</w:t>
      </w:r>
    </w:p>
    <w:p>
      <w:pPr>
        <w:spacing w:after="140"/>
      </w:pPr>
      <w:r>
        <w:rPr>
          <w:b w:val="0"/>
        </w:rPr>
        <w:t>Optimization script:</w:t>
      </w:r>
    </w:p>
    <w:p>
      <w:pPr>
        <w:pStyle w:val="ListBullet"/>
        <w:spacing w:after="40"/>
      </w:pPr>
      <w:r>
        <w:t>research/scripts/optimize_plasmaxai.py</w:t>
      </w:r>
    </w:p>
    <w:p>
      <w:pPr>
        <w:spacing w:after="140"/>
      </w:pPr>
      <w:r>
        <w:rPr>
          <w:b w:val="0"/>
        </w:rPr>
        <w:t>Novel final pipeline:</w:t>
      </w:r>
    </w:p>
    <w:p>
      <w:pPr>
        <w:pStyle w:val="ListBullet"/>
        <w:spacing w:after="40"/>
      </w:pPr>
      <w:r>
        <w:t>research/scripts/novel_plasmaxai_pipeline.py</w:t>
      </w:r>
    </w:p>
    <w:p>
      <w:pPr>
        <w:spacing w:after="140"/>
      </w:pPr>
      <w:r>
        <w:rPr>
          <w:b w:val="0"/>
        </w:rPr>
        <w:t>Main final model:</w:t>
      </w:r>
    </w:p>
    <w:p>
      <w:pPr>
        <w:pStyle w:val="ListBullet"/>
        <w:spacing w:after="40"/>
      </w:pPr>
      <w:r>
        <w:t>research/outputs/novel/novel_fusion_model.pth</w:t>
      </w:r>
    </w:p>
    <w:p>
      <w:pPr>
        <w:spacing w:after="140"/>
      </w:pPr>
      <w:r>
        <w:rPr>
          <w:b w:val="0"/>
        </w:rPr>
        <w:t>Final operating point:</w:t>
      </w:r>
    </w:p>
    <w:p>
      <w:pPr>
        <w:pStyle w:val="ListBullet"/>
        <w:spacing w:after="40"/>
      </w:pPr>
      <w:r>
        <w:t>research/outputs/novel/plasmaxai_operating_point.json</w:t>
      </w:r>
    </w:p>
    <w:p>
      <w:pPr>
        <w:spacing w:after="140"/>
      </w:pPr>
      <w:r>
        <w:rPr>
          <w:b w:val="0"/>
        </w:rPr>
        <w:t>Main benchmark comparison:</w:t>
      </w:r>
    </w:p>
    <w:p>
      <w:pPr>
        <w:pStyle w:val="ListBullet"/>
        <w:spacing w:after="40"/>
      </w:pPr>
      <w:r>
        <w:t>research/outputs/novel/plasmaxai_extended_model_comparison.csv</w:t>
      </w:r>
    </w:p>
    <w:p>
      <w:pPr>
        <w:spacing w:after="140"/>
      </w:pPr>
      <w:r>
        <w:rPr>
          <w:b w:val="0"/>
        </w:rPr>
        <w:t>Bootstrap summary:</w:t>
      </w:r>
    </w:p>
    <w:p>
      <w:pPr>
        <w:pStyle w:val="ListBullet"/>
        <w:spacing w:after="40"/>
      </w:pPr>
      <w:r>
        <w:t>research/outputs/novel/bootstrap_summary.json</w:t>
      </w:r>
    </w:p>
    <w:p>
      <w:pPr>
        <w:spacing w:after="140"/>
      </w:pPr>
      <w:r>
        <w:rPr>
          <w:b w:val="0"/>
        </w:rPr>
        <w:t>Ablation summary:</w:t>
      </w:r>
    </w:p>
    <w:p>
      <w:pPr>
        <w:pStyle w:val="ListBullet"/>
        <w:spacing w:after="40"/>
      </w:pPr>
      <w:r>
        <w:t>research/outputs/novel/ablation_results.csv</w:t>
      </w:r>
    </w:p>
    <w:p>
      <w:pPr>
        <w:spacing w:after="140"/>
      </w:pPr>
      <w:r>
        <w:rPr>
          <w:b w:val="0"/>
        </w:rPr>
        <w:t>Patient summaries:</w:t>
      </w:r>
    </w:p>
    <w:p>
      <w:pPr>
        <w:pStyle w:val="ListBullet"/>
        <w:spacing w:after="40"/>
      </w:pPr>
      <w:r>
        <w:t>research/outputs/novel/patient_counterfactual_summary.csv</w:t>
      </w:r>
    </w:p>
    <w:p>
      <w:pPr>
        <w:pStyle w:val="ListBullet"/>
        <w:spacing w:after="40"/>
      </w:pPr>
      <w:r>
        <w:t>research/outputs/novel/plasmaxai_patient_robustness.json</w:t>
      </w:r>
    </w:p>
    <w:p>
      <w:pPr>
        <w:spacing w:after="140"/>
      </w:pPr>
      <w:r>
        <w:rPr>
          <w:b w:val="0"/>
        </w:rPr>
        <w:t>Website:</w:t>
      </w:r>
    </w:p>
    <w:p>
      <w:pPr>
        <w:pStyle w:val="ListBullet"/>
        <w:spacing w:after="40"/>
      </w:pPr>
      <w:r>
        <w:t>apps/web</w:t>
      </w:r>
    </w:p>
    <w:p>
      <w:pPr>
        <w:spacing w:after="140"/>
      </w:pPr>
      <w:r>
        <w:rPr>
          <w:b w:val="0"/>
        </w:rPr>
        <w:t>Inference service:</w:t>
      </w:r>
    </w:p>
    <w:p>
      <w:pPr>
        <w:pStyle w:val="ListBullet"/>
        <w:spacing w:after="40"/>
      </w:pPr>
      <w:r>
        <w:t>apps/inference</w:t>
      </w:r>
    </w:p>
    <w:p>
      <w:pPr>
        <w:spacing w:after="140"/>
      </w:pPr>
      <w:r>
        <w:rPr>
          <w:b w:val="0"/>
        </w:rPr>
        <w:t>Short competition brief:</w:t>
      </w:r>
    </w:p>
    <w:p>
      <w:pPr>
        <w:pStyle w:val="ListBullet"/>
        <w:spacing w:after="40"/>
      </w:pPr>
      <w:r>
        <w:t>research/package/PlasmaXAI_competition_master_brief.txt</w:t>
      </w:r>
    </w:p>
    <w:p>
      <w:pPr>
        <w:spacing w:after="140"/>
      </w:pPr>
      <w:r>
        <w:rPr>
          <w:b w:val="0"/>
        </w:rPr>
        <w:t>Medium-length master dossier:</w:t>
      </w:r>
    </w:p>
    <w:p>
      <w:pPr>
        <w:pStyle w:val="ListBullet"/>
        <w:spacing w:after="40"/>
      </w:pPr>
      <w:r>
        <w:t>research/package/PlasmaXAI_everything_master_dossier.txt</w:t>
      </w:r>
    </w:p>
    <w:p>
      <w:pPr>
        <w:spacing w:after="140"/>
      </w:pPr>
      <w:r>
        <w:rPr>
          <w:b w:val="0"/>
        </w:rPr>
        <w:t>This ultra-detailed record:</w:t>
      </w:r>
    </w:p>
    <w:p>
      <w:pPr>
        <w:pStyle w:val="ListBullet"/>
        <w:spacing w:after="40"/>
      </w:pPr>
      <w:r>
        <w:t>research/package/PlasmaXAI_ultra_detailed_full_record.txt</w:t>
      </w:r>
    </w:p>
    <w:p>
      <w:pPr>
        <w:pStyle w:val="Heading2"/>
      </w:pPr>
      <w:r>
        <w:t>30 Final bottom line</w:t>
      </w:r>
    </w:p>
    <w:p>
      <w:pPr>
        <w:spacing w:after="140"/>
      </w:pPr>
      <w:r>
        <w:rPr>
          <w:b w:val="0"/>
        </w:rPr>
        <w:t>PlasmaXAI should be understood as a full research-and-translation framework. It began as a notebook baseline, matured through benchmark optimization, and arrived at a final learned architecture that fuses ResNet50, DenseNet121, handcrafted morphology, counterfactual boundary information, and score-level signals inside one decision pipeline. The final preferred operating point achieved 93.42% accuracy, 93.43% weighted F1, 91.24% plasma precision, 94.63% plasma recall, and 97.76% AUC. The project also produced ablations, bootstrap intervals, exploratory patient-level analyses, clinician-facing explainability, paper materials, a doctor-facing website, and a deployment-ready inference service. Its strongest honest contribution is not just a metric, but an interpretable digital hematopathology framework with a credible path toward doctor-in-the-loop use.</w:t>
      </w:r>
    </w:p>
    <w:p>
      <w:pPr>
        <w:pStyle w:val="Heading2"/>
      </w:pPr>
      <w:r>
        <w:t>31 References</w:t>
      </w:r>
    </w:p>
    <w:p>
      <w:pPr>
        <w:spacing w:after="140"/>
      </w:pPr>
      <w:r>
        <w:rPr>
          <w:b w:val="0"/>
        </w:rPr>
        <w:t>[1] Silva, A.B., Matos, J., Costa, A., et al. PCMMD: A dataset of plasma cells for multiple myeloma diagnosis. Scientific Data 12, 543 (2025).</w:t>
      </w:r>
    </w:p>
    <w:p>
      <w:pPr>
        <w:spacing w:after="140"/>
      </w:pPr>
      <w:r>
        <w:rPr>
          <w:b w:val="0"/>
        </w:rPr>
        <w:t>[2] Rajkumar, S.V. Multiple myeloma: 2022 update on diagnosis, risk-stratification, and management. American Journal of Hematology 97, 1086--1107 (2022).</w:t>
      </w:r>
    </w:p>
    <w:p>
      <w:pPr>
        <w:spacing w:after="140"/>
      </w:pPr>
      <w:r>
        <w:rPr>
          <w:b w:val="0"/>
        </w:rPr>
        <w:t>[3] Litjens, G., Kooi, T., Bejnordi, B.E., et al. A survey on deep learning in medical image analysis. Medical Image Analysis 42, 60--88 (2017).</w:t>
      </w:r>
    </w:p>
    <w:p>
      <w:pPr>
        <w:spacing w:after="140"/>
      </w:pPr>
      <w:r>
        <w:rPr>
          <w:b w:val="0"/>
        </w:rPr>
        <w:t>[4] Bera, K., Schalper, K.A., Rimm, D.L., Velcheti, V., Madabhushi, A. Artificial intelligence in digital pathology---new tools for diagnosis and precision oncology. Nature Reviews Clinical Oncology 16, 703--715 (2019).</w:t>
      </w:r>
    </w:p>
    <w:p>
      <w:pPr>
        <w:spacing w:after="140"/>
      </w:pPr>
      <w:r>
        <w:rPr>
          <w:b w:val="0"/>
        </w:rPr>
        <w:t>[5] He, K., Zhang, X., Ren, S., Sun, J. Deep residual learning for image recognition. Proceedings of the IEEE Conference on Computer Vision and Pattern Recognition, 770--778 (2016).</w:t>
      </w:r>
    </w:p>
    <w:p>
      <w:pPr>
        <w:spacing w:after="140"/>
      </w:pPr>
      <w:r>
        <w:rPr>
          <w:b w:val="0"/>
        </w:rPr>
        <w:t>[6] Huang, G., Liu, Z., van der Maaten, L., Weinberger, K.Q. Densely connected convolutional networks. Proceedings of the IEEE Conference on Computer Vision and Pattern Recognition, 4700--4708 (2017).</w:t>
      </w:r>
    </w:p>
    <w:p>
      <w:pPr>
        <w:spacing w:after="140"/>
      </w:pPr>
      <w:r>
        <w:rPr>
          <w:b w:val="0"/>
        </w:rPr>
        <w:t>[7] Wachter, S., Mittelstadt, B., Russell, C. Counterfactual explanations without opening the black box: Automated decisions and the GDPR. Harvard Journal of Law and Technology 31(2), 841--887 (2018).</w:t>
      </w:r>
    </w:p>
    <w:p>
      <w:pPr>
        <w:spacing w:after="140"/>
      </w:pPr>
      <w:r>
        <w:rPr>
          <w:b w:val="0"/>
        </w:rPr>
        <w:t>[8] Mothilal, R.K., Sharma, A., Tan, C. Explaining machine learning classifiers through diverse counterfactual explanations. FAT* 2020, 607--617 (2020).</w:t>
      </w:r>
    </w:p>
    <w:p>
      <w:pPr>
        <w:spacing w:after="140"/>
      </w:pPr>
      <w:r>
        <w:rPr>
          <w:b w:val="0"/>
        </w:rPr>
        <w:t>[9] Guo, C., Pleiss, G., Sun, Y., Weinberger, K.Q. On calibration of modern neural networks. International Conference on Machine Learning, 1321--1330 (2017).</w:t>
      </w:r>
    </w:p>
    <w:p>
      <w:pPr>
        <w:spacing w:after="140"/>
      </w:pPr>
      <w:r>
        <w:rPr>
          <w:b w:val="0"/>
        </w:rPr>
        <w:t>[10] Ribeiro, M.T., Singh, S., Guestrin, C. "Why should I trust you?": Explaining the predictions of any classifier. Proceedings of the 22nd ACM SIGKDD International Conference on Knowledge Discovery and Data Mining, 1135--1144 (2016).</w:t>
      </w:r>
    </w:p>
    <w:p>
      <w:pPr>
        <w:spacing w:after="140"/>
      </w:pPr>
      <w:r>
        <w:rPr>
          <w:b w:val="0"/>
        </w:rPr>
        <w:t>[11] Selvaraju, R.R., Cogswell, M., Das, A., et al. Grad-CAM: Visual explanations from deep networks via gradient-based localization. Proceedings of the IEEE International Conference on Computer Vision, 618--626 (2017).</w:t>
      </w:r>
    </w:p>
    <w:p>
      <w:pPr>
        <w:spacing w:after="140"/>
      </w:pPr>
      <w:r>
        <w:rPr>
          <w:b w:val="0"/>
        </w:rPr>
        <w:t>[12] Lundberg, S.M., Lee, S.-I. A unified approach to interpreting model predictions. Advances in Neural Information Processing Systems, 4765--4774 (2017).</w:t>
      </w:r>
    </w:p>
    <w:p>
      <w:pPr>
        <w:pStyle w:val="Heading2"/>
      </w:pPr>
      <w:r>
        <w:t>32 Step-by-step walkthrough of how one final result was produced</w:t>
      </w:r>
    </w:p>
    <w:p>
      <w:pPr>
        <w:spacing w:after="140"/>
      </w:pPr>
      <w:r>
        <w:rPr>
          <w:b w:val="0"/>
        </w:rPr>
        <w:t>This section explains, step by step, how a single final reported PlasmaXAI test result was actually generated in practice.</w:t>
      </w:r>
    </w:p>
    <w:p>
      <w:pPr>
        <w:spacing w:after="140"/>
      </w:pPr>
      <w:r>
        <w:rPr>
          <w:b w:val="0"/>
        </w:rPr>
        <w:t>Step 1: Dataset load The pipeline starts by scanning the Set 1 folder under `data/raw/PCMMD_LOCAL/set1` and collecting file paths for the class folders defined in `CLASS_NAMES`. Every valid image path is stored together with:</w:t>
      </w:r>
    </w:p>
    <w:p>
      <w:pPr>
        <w:pStyle w:val="ListBullet"/>
        <w:spacing w:after="40"/>
      </w:pPr>
      <w:r>
        <w:t>the path</w:t>
      </w:r>
    </w:p>
    <w:p>
      <w:pPr>
        <w:pStyle w:val="ListBullet"/>
        <w:spacing w:after="40"/>
      </w:pPr>
      <w:r>
        <w:t>numeric label</w:t>
      </w:r>
    </w:p>
    <w:p>
      <w:pPr>
        <w:pStyle w:val="ListBullet"/>
        <w:spacing w:after="40"/>
      </w:pPr>
      <w:r>
        <w:t>class name</w:t>
      </w:r>
    </w:p>
    <w:p>
      <w:pPr>
        <w:pStyle w:val="ListBullet"/>
        <w:spacing w:after="40"/>
      </w:pPr>
      <w:r>
        <w:t>image_id</w:t>
      </w:r>
    </w:p>
    <w:p>
      <w:pPr>
        <w:spacing w:after="140"/>
      </w:pPr>
      <w:r>
        <w:rPr>
          <w:b w:val="0"/>
        </w:rPr>
        <w:t>Step 2: Train/validation/test split The full dataframe is split with stratification. This is important because it ensures the class distribution is preserved across train, validation, and test partitions. The split uses a fixed seed, so the result is repeatable for the same environment and input data.</w:t>
      </w:r>
    </w:p>
    <w:p>
      <w:pPr>
        <w:spacing w:after="140"/>
      </w:pPr>
      <w:r>
        <w:rPr>
          <w:b w:val="0"/>
        </w:rPr>
        <w:t>Step 3: Morphology extraction Every image in the full dataset has morphology features extracted and cached to `segmentation_morph_features.csv`. This cache avoids recomputing handcrafted features every time the fusion search runs.</w:t>
      </w:r>
    </w:p>
    <w:p>
      <w:pPr>
        <w:spacing w:after="140"/>
      </w:pPr>
      <w:r>
        <w:rPr>
          <w:b w:val="0"/>
        </w:rPr>
        <w:t>Step 4: Counterfactual model fitting Only the training portion of the morphology table is used to fit the logistic-regression-based counterfactual boundary model. This is important for keeping the decision-boundary logic properly inside the training data regime.</w:t>
      </w:r>
    </w:p>
    <w:p>
      <w:pPr>
        <w:spacing w:after="140"/>
      </w:pPr>
      <w:r>
        <w:rPr>
          <w:b w:val="0"/>
        </w:rPr>
        <w:t>Step 5: Counterfactual feature computation Counterfactual features are then computed separately for training, validation, and test. This produces per-sample boundary-distance and prototype-shift descriptors that eventually become part of the final neural input.</w:t>
      </w:r>
    </w:p>
    <w:p>
      <w:pPr>
        <w:spacing w:after="140"/>
      </w:pPr>
      <w:r>
        <w:rPr>
          <w:b w:val="0"/>
        </w:rPr>
        <w:t>Step 6: Backbone embedding extraction The training, validation, and test splits are passed through ResNet50 and DenseNet121. Their pre-logit embeddings and probabilities are extracted and cached to pickle files. These features are then merged with morphology and counterfactual data.</w:t>
      </w:r>
    </w:p>
    <w:p>
      <w:pPr>
        <w:spacing w:after="140"/>
      </w:pPr>
      <w:r>
        <w:rPr>
          <w:b w:val="0"/>
        </w:rPr>
        <w:t>Step 7: Fusion search The pipeline trains several candidate fusion configurations. For each epoch in each candidate configuration, it:</w:t>
      </w:r>
    </w:p>
    <w:p>
      <w:pPr>
        <w:pStyle w:val="ListBullet"/>
        <w:spacing w:after="40"/>
      </w:pPr>
      <w:r>
        <w:t>trains on the training set</w:t>
      </w:r>
    </w:p>
    <w:p>
      <w:pPr>
        <w:pStyle w:val="ListBullet"/>
        <w:spacing w:after="40"/>
      </w:pPr>
      <w:r>
        <w:t>evaluates on the validation set</w:t>
      </w:r>
    </w:p>
    <w:p>
      <w:pPr>
        <w:pStyle w:val="ListBullet"/>
        <w:spacing w:after="40"/>
      </w:pPr>
      <w:r>
        <w:t>searches validation thresholds</w:t>
      </w:r>
    </w:p>
    <w:p>
      <w:pPr>
        <w:pStyle w:val="ListBullet"/>
        <w:spacing w:after="40"/>
      </w:pPr>
      <w:r>
        <w:t>stores the epoch metrics and mean gate values</w:t>
      </w:r>
    </w:p>
    <w:p>
      <w:pPr>
        <w:pStyle w:val="ListBullet"/>
        <w:spacing w:after="40"/>
      </w:pPr>
      <w:r>
        <w:t>keeps the best state according to the validation priority rule</w:t>
      </w:r>
    </w:p>
    <w:p>
      <w:pPr>
        <w:spacing w:after="140"/>
      </w:pPr>
      <w:r>
        <w:rPr>
          <w:b w:val="0"/>
        </w:rPr>
        <w:t>Step 8: Best-model selection After all configurations finish, the best configuration is selected by the same clinical priority logic used during validation.</w:t>
      </w:r>
    </w:p>
    <w:p>
      <w:pPr>
        <w:spacing w:after="140"/>
      </w:pPr>
      <w:r>
        <w:rPr>
          <w:b w:val="0"/>
        </w:rPr>
        <w:t>Step 9: Held-out test evaluation The best fusion model is evaluated on the held-out test set. The model outputs probabilities and gate values. The selected threshold is applied to generate class predictions and compute final metrics.</w:t>
      </w:r>
    </w:p>
    <w:p>
      <w:pPr>
        <w:spacing w:after="140"/>
      </w:pPr>
      <w:r>
        <w:rPr>
          <w:b w:val="0"/>
        </w:rPr>
        <w:t>Step 10: Comparison and packaging The test metrics are then compared with baseline systems, written to JSON/CSV, used for plotting, and later refined into the final preferred threshold at 0.72.</w:t>
      </w:r>
    </w:p>
    <w:p>
      <w:pPr>
        <w:pStyle w:val="Heading2"/>
      </w:pPr>
      <w:r>
        <w:t>33 Detailed explanation of the training loop and optimization dynamics</w:t>
      </w:r>
    </w:p>
    <w:p>
      <w:pPr>
        <w:spacing w:after="140"/>
      </w:pPr>
      <w:r>
        <w:rPr>
          <w:b w:val="0"/>
        </w:rPr>
        <w:t>The training loop in `train_fusion_model` is worth documenting carefully because it shows how the final result was stabilized.</w:t>
      </w:r>
    </w:p>
    <w:p>
      <w:pPr>
        <w:pStyle w:val="Heading3"/>
      </w:pPr>
      <w:r>
        <w:t>33.1 Weighted sampling</w:t>
      </w:r>
    </w:p>
    <w:p>
      <w:pPr>
        <w:spacing w:after="140"/>
      </w:pPr>
      <w:r>
        <w:rPr>
          <w:b w:val="0"/>
        </w:rPr>
        <w:t>The class distribution of the training data is converted into inverse class weights. These weights are used twice:</w:t>
      </w:r>
    </w:p>
    <w:p>
      <w:pPr>
        <w:pStyle w:val="ListBullet"/>
        <w:spacing w:after="40"/>
      </w:pPr>
      <w:r>
        <w:t>first to build `sample_weights` for the `WeightedRandomSampler`</w:t>
      </w:r>
    </w:p>
    <w:p>
      <w:pPr>
        <w:pStyle w:val="ListBullet"/>
        <w:spacing w:after="40"/>
      </w:pPr>
      <w:r>
        <w:t>second to build class weights for the final `CrossEntropyLoss`</w:t>
      </w:r>
    </w:p>
    <w:p>
      <w:pPr>
        <w:spacing w:after="140"/>
      </w:pPr>
      <w:r>
        <w:rPr>
          <w:b w:val="0"/>
        </w:rPr>
        <w:t>This means minority-class underrepresentation is addressed both in which examples appear during training and in how loss penalizes mistakes.</w:t>
      </w:r>
    </w:p>
    <w:p>
      <w:pPr>
        <w:pStyle w:val="Heading3"/>
      </w:pPr>
      <w:r>
        <w:t>33.2 Mixed precision</w:t>
      </w:r>
    </w:p>
    <w:p>
      <w:pPr>
        <w:spacing w:after="140"/>
      </w:pPr>
      <w:r>
        <w:rPr>
          <w:b w:val="0"/>
        </w:rPr>
        <w:t>Whenever CUDA is available, the training loop uses:</w:t>
      </w:r>
    </w:p>
    <w:p>
      <w:pPr>
        <w:pStyle w:val="ListBullet"/>
        <w:spacing w:after="40"/>
      </w:pPr>
      <w:r>
        <w:t>`torch.autocast`</w:t>
      </w:r>
    </w:p>
    <w:p>
      <w:pPr>
        <w:pStyle w:val="ListBullet"/>
        <w:spacing w:after="40"/>
      </w:pPr>
      <w:r>
        <w:t>`torch.amp.GradScaler`</w:t>
      </w:r>
    </w:p>
    <w:p>
      <w:pPr>
        <w:spacing w:after="140"/>
      </w:pPr>
      <w:r>
        <w:rPr>
          <w:b w:val="0"/>
        </w:rPr>
        <w:t>This accelerates training and reduces memory pressure on the GPU. Because the project was run on an RTX 3060 with 12 GB of VRAM, mixed precision helps keep training efficient while still allowing sufficiently large batch sizes.</w:t>
      </w:r>
    </w:p>
    <w:p>
      <w:pPr>
        <w:pStyle w:val="Heading3"/>
      </w:pPr>
      <w:r>
        <w:t>33.3 Optimizer choice</w:t>
      </w:r>
    </w:p>
    <w:p>
      <w:pPr>
        <w:spacing w:after="140"/>
      </w:pPr>
      <w:r>
        <w:rPr>
          <w:b w:val="0"/>
        </w:rPr>
        <w:t>`AdamW` is used rather than plain SGD or vanilla Adam. This is a sensible choice for a mixed tabular-deep fusion network because:</w:t>
      </w:r>
    </w:p>
    <w:p>
      <w:pPr>
        <w:pStyle w:val="ListBullet"/>
        <w:spacing w:after="40"/>
      </w:pPr>
      <w:r>
        <w:t>it is effective for dense parameter optimization</w:t>
      </w:r>
    </w:p>
    <w:p>
      <w:pPr>
        <w:pStyle w:val="ListBullet"/>
        <w:spacing w:after="40"/>
      </w:pPr>
      <w:r>
        <w:t>decoupled weight decay often behaves more cleanly than naive L2 treatment</w:t>
      </w:r>
    </w:p>
    <w:p>
      <w:pPr>
        <w:pStyle w:val="ListBullet"/>
        <w:spacing w:after="40"/>
      </w:pPr>
      <w:r>
        <w:t>it is widely used for transformer-like and hybrid deep architectures</w:t>
      </w:r>
    </w:p>
    <w:p>
      <w:pPr>
        <w:pStyle w:val="Heading3"/>
      </w:pPr>
      <w:r>
        <w:t>33.4 Scheduler choice</w:t>
      </w:r>
    </w:p>
    <w:p>
      <w:pPr>
        <w:spacing w:after="140"/>
      </w:pPr>
      <w:r>
        <w:rPr>
          <w:b w:val="0"/>
        </w:rPr>
        <w:t>`CosineAnnealingLR` is used with `T_max = epochs`. This means the learning rate gradually anneals over the full training horizon rather than stepping down at a few abrupt milestones. For compact fusion heads trained on frozen deep embeddings, this often gives a smoother optimization trajectory than a harsh piecewise schedule.</w:t>
      </w:r>
    </w:p>
    <w:p>
      <w:pPr>
        <w:pStyle w:val="Heading3"/>
      </w:pPr>
      <w:r>
        <w:t>33.5 Best-state retention</w:t>
      </w:r>
    </w:p>
    <w:p>
      <w:pPr>
        <w:spacing w:after="140"/>
      </w:pPr>
      <w:r>
        <w:rPr>
          <w:b w:val="0"/>
        </w:rPr>
        <w:t>The training loop does not simply keep the final epoch. Instead, it stores the state dictionary of the best validation state seen so far. That state is later reloaded into the model before returning the training result. This is important because it ensures the test set is evaluated using the validation-best fusion parameters rather than the last epoch by default.</w:t>
      </w:r>
    </w:p>
    <w:p>
      <w:pPr>
        <w:pStyle w:val="Heading3"/>
      </w:pPr>
      <w:r>
        <w:t>33.6 Patience and stopping</w:t>
      </w:r>
    </w:p>
    <w:p>
      <w:pPr>
        <w:spacing w:after="140"/>
      </w:pPr>
      <w:r>
        <w:rPr>
          <w:b w:val="0"/>
        </w:rPr>
        <w:t>The loop increments `bad_epochs` whenever the validation priority fails to improve. Once `bad_epochs` reaches the configured patience, training stops. In practice, this prevents wasting compute on epochs that are no longer improving the model meaningfully.</w:t>
      </w:r>
    </w:p>
    <w:p>
      <w:pPr>
        <w:pStyle w:val="Heading2"/>
      </w:pPr>
      <w:r>
        <w:t>34 Exact meaning of the saved artifacts in research/outputs/novel</w:t>
      </w:r>
    </w:p>
    <w:p>
      <w:pPr>
        <w:spacing w:after="140"/>
      </w:pPr>
      <w:r>
        <w:rPr>
          <w:b w:val="0"/>
        </w:rPr>
        <w:t>The `research/outputs/novel` directory contains many files, and each one has a distinct purpose. This section explains them in plain language.</w:t>
      </w:r>
    </w:p>
    <w:p>
      <w:pPr>
        <w:spacing w:after="140"/>
      </w:pPr>
      <w:r>
        <w:rPr>
          <w:b w:val="0"/>
        </w:rPr>
        <w:t>`novel_fusion_model.pth`</w:t>
      </w:r>
    </w:p>
    <w:p>
      <w:pPr>
        <w:pStyle w:val="ListBullet"/>
        <w:spacing w:after="40"/>
      </w:pPr>
      <w:r>
        <w:t>the final trained fusion network weights</w:t>
      </w:r>
    </w:p>
    <w:p>
      <w:pPr>
        <w:spacing w:after="140"/>
      </w:pPr>
      <w:r>
        <w:rPr>
          <w:b w:val="0"/>
        </w:rPr>
        <w:t>`fusion_scalers.joblib`</w:t>
      </w:r>
    </w:p>
    <w:p>
      <w:pPr>
        <w:pStyle w:val="ListBullet"/>
        <w:spacing w:after="40"/>
      </w:pPr>
      <w:r>
        <w:t>the scaling objects for morphology, counterfactual, and score features</w:t>
      </w:r>
    </w:p>
    <w:p>
      <w:pPr>
        <w:pStyle w:val="ListBullet"/>
        <w:spacing w:after="40"/>
      </w:pPr>
      <w:r>
        <w:t>also contains the feature-block definitions used to recover input dimensions</w:t>
      </w:r>
    </w:p>
    <w:p>
      <w:pPr>
        <w:spacing w:after="140"/>
      </w:pPr>
      <w:r>
        <w:rPr>
          <w:b w:val="0"/>
        </w:rPr>
        <w:t>`counterfactual_bundle.joblib`</w:t>
      </w:r>
    </w:p>
    <w:p>
      <w:pPr>
        <w:pStyle w:val="ListBullet"/>
        <w:spacing w:after="40"/>
      </w:pPr>
      <w:r>
        <w:t>the logistic regression counterfactual model</w:t>
      </w:r>
    </w:p>
    <w:p>
      <w:pPr>
        <w:pStyle w:val="ListBullet"/>
        <w:spacing w:after="40"/>
      </w:pPr>
      <w:r>
        <w:t>the scaler used before that model</w:t>
      </w:r>
    </w:p>
    <w:p>
      <w:pPr>
        <w:pStyle w:val="ListBullet"/>
        <w:spacing w:after="40"/>
      </w:pPr>
      <w:r>
        <w:t>the benign prototype vector</w:t>
      </w:r>
    </w:p>
    <w:p>
      <w:pPr>
        <w:spacing w:after="140"/>
      </w:pPr>
      <w:r>
        <w:rPr>
          <w:b w:val="0"/>
        </w:rPr>
        <w:t>`novel_summary.json`</w:t>
      </w:r>
    </w:p>
    <w:p>
      <w:pPr>
        <w:pStyle w:val="ListBullet"/>
        <w:spacing w:after="40"/>
      </w:pPr>
      <w:r>
        <w:t>the original novel-framework summary</w:t>
      </w:r>
    </w:p>
    <w:p>
      <w:pPr>
        <w:pStyle w:val="ListBullet"/>
        <w:spacing w:after="40"/>
      </w:pPr>
      <w:r>
        <w:t>contains best configuration, threshold, metrics, patient summary, and</w:t>
      </w:r>
    </w:p>
    <w:p>
      <w:pPr>
        <w:spacing w:after="140"/>
      </w:pPr>
      <w:r>
        <w:rPr>
          <w:b w:val="0"/>
        </w:rPr>
        <w:t>ablation information</w:t>
      </w:r>
    </w:p>
    <w:p>
      <w:pPr>
        <w:spacing w:after="140"/>
      </w:pPr>
      <w:r>
        <w:rPr>
          <w:b w:val="0"/>
        </w:rPr>
        <w:t>`plasmaxai_operating_point.json`</w:t>
      </w:r>
    </w:p>
    <w:p>
      <w:pPr>
        <w:pStyle w:val="ListBullet"/>
        <w:spacing w:after="40"/>
      </w:pPr>
      <w:r>
        <w:t>the later selected preferred threshold and final preferred public metrics</w:t>
      </w:r>
    </w:p>
    <w:p>
      <w:pPr>
        <w:spacing w:after="140"/>
      </w:pPr>
      <w:r>
        <w:rPr>
          <w:b w:val="0"/>
        </w:rPr>
        <w:t>`best_fusion_history.csv`</w:t>
      </w:r>
    </w:p>
    <w:p>
      <w:pPr>
        <w:pStyle w:val="ListBullet"/>
        <w:spacing w:after="40"/>
      </w:pPr>
      <w:r>
        <w:t>epoch-level trace for the best fusion model</w:t>
      </w:r>
    </w:p>
    <w:p>
      <w:pPr>
        <w:pStyle w:val="ListBullet"/>
        <w:spacing w:after="40"/>
      </w:pPr>
      <w:r>
        <w:t>includes train loss, train accuracy, validation metrics, threshold, and mean</w:t>
      </w:r>
    </w:p>
    <w:p>
      <w:pPr>
        <w:spacing w:after="140"/>
      </w:pPr>
      <w:r>
        <w:rPr>
          <w:b w:val="0"/>
        </w:rPr>
        <w:t>gate weights</w:t>
      </w:r>
    </w:p>
    <w:p>
      <w:pPr>
        <w:spacing w:after="140"/>
      </w:pPr>
      <w:r>
        <w:rPr>
          <w:b w:val="0"/>
        </w:rPr>
        <w:t>`ablation_results.csv`</w:t>
      </w:r>
    </w:p>
    <w:p>
      <w:pPr>
        <w:pStyle w:val="ListBullet"/>
        <w:spacing w:after="40"/>
      </w:pPr>
      <w:r>
        <w:t>CSV representation of ablation results</w:t>
      </w:r>
    </w:p>
    <w:p>
      <w:pPr>
        <w:spacing w:after="140"/>
      </w:pPr>
      <w:r>
        <w:rPr>
          <w:b w:val="0"/>
        </w:rPr>
        <w:t>`bootstrap_summary.json`</w:t>
      </w:r>
    </w:p>
    <w:p>
      <w:pPr>
        <w:pStyle w:val="ListBullet"/>
        <w:spacing w:after="40"/>
      </w:pPr>
      <w:r>
        <w:t>bootstrap confidence interval summary</w:t>
      </w:r>
    </w:p>
    <w:p>
      <w:pPr>
        <w:spacing w:after="140"/>
      </w:pPr>
      <w:r>
        <w:rPr>
          <w:b w:val="0"/>
        </w:rPr>
        <w:t>`patient_cell_predictions.csv`</w:t>
      </w:r>
    </w:p>
    <w:p>
      <w:pPr>
        <w:pStyle w:val="ListBullet"/>
        <w:spacing w:after="40"/>
      </w:pPr>
      <w:r>
        <w:t>per-cell patient-level exploratory inference results</w:t>
      </w:r>
    </w:p>
    <w:p>
      <w:pPr>
        <w:spacing w:after="140"/>
      </w:pPr>
      <w:r>
        <w:rPr>
          <w:b w:val="0"/>
        </w:rPr>
        <w:t>`patient_counterfactual_summary.csv`</w:t>
      </w:r>
    </w:p>
    <w:p>
      <w:pPr>
        <w:pStyle w:val="ListBullet"/>
        <w:spacing w:after="40"/>
      </w:pPr>
      <w:r>
        <w:t>patient-level aggregated summary values</w:t>
      </w:r>
    </w:p>
    <w:p>
      <w:pPr>
        <w:spacing w:after="140"/>
      </w:pPr>
      <w:r>
        <w:rPr>
          <w:b w:val="0"/>
        </w:rPr>
        <w:t>The figure files in `research/outputs/novel/figures` are not just presentation assets. They correspond to specific analytical stages of the project and can be used to defend claims made in the competition brief or the paper.</w:t>
      </w:r>
    </w:p>
    <w:p>
      <w:pPr>
        <w:pStyle w:val="Heading2"/>
      </w:pPr>
      <w:r>
        <w:t>35 Detailed explanation of patient-level crop processing</w:t>
      </w:r>
    </w:p>
    <w:p>
      <w:pPr>
        <w:spacing w:after="140"/>
      </w:pPr>
      <w:r>
        <w:rPr>
          <w:b w:val="0"/>
        </w:rPr>
        <w:t>The patient-level analysis is easy to misread as if it were a simple table aggregation, but there is real image processing behind it.</w:t>
      </w:r>
    </w:p>
    <w:p>
      <w:pPr>
        <w:pStyle w:val="Heading3"/>
      </w:pPr>
      <w:r>
        <w:t>35.1 Patient directory structure</w:t>
      </w:r>
    </w:p>
    <w:p>
      <w:pPr>
        <w:spacing w:after="140"/>
      </w:pPr>
      <w:r>
        <w:rPr>
          <w:b w:val="0"/>
        </w:rPr>
        <w:t>The pipeline expects patient folders whose names start with `patient`. Inside each patient folder, it expects:</w:t>
      </w:r>
    </w:p>
    <w:p>
      <w:pPr>
        <w:pStyle w:val="ListBullet"/>
        <w:spacing w:after="40"/>
      </w:pPr>
      <w:r>
        <w:t>an `images` directory</w:t>
      </w:r>
    </w:p>
    <w:p>
      <w:pPr>
        <w:pStyle w:val="ListBullet"/>
        <w:spacing w:after="40"/>
      </w:pPr>
      <w:r>
        <w:t>a `labels` directory</w:t>
      </w:r>
    </w:p>
    <w:p>
      <w:pPr>
        <w:spacing w:after="140"/>
      </w:pPr>
      <w:r>
        <w:rPr>
          <w:b w:val="0"/>
        </w:rPr>
        <w:t>The labels are text files aligned with the images.</w:t>
      </w:r>
    </w:p>
    <w:p>
      <w:pPr>
        <w:pStyle w:val="Heading3"/>
      </w:pPr>
      <w:r>
        <w:t>35.2 Label parsing</w:t>
      </w:r>
    </w:p>
    <w:p>
      <w:pPr>
        <w:spacing w:after="140"/>
      </w:pPr>
      <w:r>
        <w:rPr>
          <w:b w:val="0"/>
        </w:rPr>
        <w:t>Each label line is interpreted as:</w:t>
      </w:r>
    </w:p>
    <w:p>
      <w:pPr>
        <w:pStyle w:val="ListBullet"/>
        <w:spacing w:after="40"/>
      </w:pPr>
      <w:r>
        <w:t>class id</w:t>
      </w:r>
    </w:p>
    <w:p>
      <w:pPr>
        <w:pStyle w:val="ListBullet"/>
        <w:spacing w:after="40"/>
      </w:pPr>
      <w:r>
        <w:t>x-center</w:t>
      </w:r>
    </w:p>
    <w:p>
      <w:pPr>
        <w:pStyle w:val="ListBullet"/>
        <w:spacing w:after="40"/>
      </w:pPr>
      <w:r>
        <w:t>y-center</w:t>
      </w:r>
    </w:p>
    <w:p>
      <w:pPr>
        <w:pStyle w:val="ListBullet"/>
        <w:spacing w:after="40"/>
      </w:pPr>
      <w:r>
        <w:t>bounding-box width</w:t>
      </w:r>
    </w:p>
    <w:p>
      <w:pPr>
        <w:pStyle w:val="ListBullet"/>
        <w:spacing w:after="40"/>
      </w:pPr>
      <w:r>
        <w:t>bounding-box height</w:t>
      </w:r>
    </w:p>
    <w:p>
      <w:pPr>
        <w:spacing w:after="140"/>
      </w:pPr>
      <w:r>
        <w:rPr>
          <w:b w:val="0"/>
        </w:rPr>
        <w:t>These are treated as normalized coordinates and are transformed into pixel coordinates using the image width and height.</w:t>
      </w:r>
    </w:p>
    <w:p>
      <w:pPr>
        <w:pStyle w:val="Heading3"/>
      </w:pPr>
      <w:r>
        <w:t>35.3 Padding strategy</w:t>
      </w:r>
    </w:p>
    <w:p>
      <w:pPr>
        <w:spacing w:after="140"/>
      </w:pPr>
      <w:r>
        <w:rPr>
          <w:b w:val="0"/>
        </w:rPr>
        <w:t>After the crop is computed from the bounding box, 10% padding is added in both the x and y directions. This is important because cell context around the bounding box may still carry useful morphology and stain information.</w:t>
      </w:r>
    </w:p>
    <w:p>
      <w:pPr>
        <w:pStyle w:val="Heading3"/>
      </w:pPr>
      <w:r>
        <w:t>35.4 Crop extraction and filtering</w:t>
      </w:r>
    </w:p>
    <w:p>
      <w:pPr>
        <w:spacing w:after="140"/>
      </w:pPr>
      <w:r>
        <w:rPr>
          <w:b w:val="0"/>
        </w:rPr>
        <w:t>If the crop is empty, the sample is skipped. Otherwise the crop is retained and stored as an RGB array. This means the patient-level inference stage runs on true extracted cell crops rather than on metadata only.</w:t>
      </w:r>
    </w:p>
    <w:p>
      <w:pPr>
        <w:pStyle w:val="Heading3"/>
      </w:pPr>
      <w:r>
        <w:t>35.5 Consistency analysis</w:t>
      </w:r>
    </w:p>
    <w:p>
      <w:pPr>
        <w:spacing w:after="140"/>
      </w:pPr>
      <w:r>
        <w:rPr>
          <w:b w:val="0"/>
        </w:rPr>
        <w:t>For plasma-positive cells within a patient, the code computes pairwise cosine similarity of the counterfactual-shift vectors. This creates a patient-level consistency value that summarizes whether malignant-like counterfactual movements are coherent across plasma cells in the same patient.</w:t>
      </w:r>
    </w:p>
    <w:p>
      <w:pPr>
        <w:spacing w:after="140"/>
      </w:pPr>
      <w:r>
        <w:rPr>
          <w:b w:val="0"/>
        </w:rPr>
        <w:t>That is one of the reasons the patient-level analysis is scientifically interesting despite being exploratory.</w:t>
      </w:r>
    </w:p>
    <w:p>
      <w:pPr>
        <w:pStyle w:val="Heading2"/>
      </w:pPr>
      <w:r>
        <w:t>36 Detailed explanation of the doctor-facing PDF/report generation path</w:t>
      </w:r>
    </w:p>
    <w:p>
      <w:pPr>
        <w:spacing w:after="140"/>
      </w:pPr>
      <w:r>
        <w:rPr>
          <w:b w:val="0"/>
        </w:rPr>
        <w:t>The reporting logic is another important part of the translation story.</w:t>
      </w:r>
    </w:p>
    <w:p>
      <w:pPr>
        <w:pStyle w:val="Heading3"/>
      </w:pPr>
      <w:r>
        <w:t>36.1 Why reports matter</w:t>
      </w:r>
    </w:p>
    <w:p>
      <w:pPr>
        <w:spacing w:after="140"/>
      </w:pPr>
      <w:r>
        <w:rPr>
          <w:b w:val="0"/>
        </w:rPr>
        <w:t>A model result on its own is not enough in a clinical context. A doctor often needs:</w:t>
      </w:r>
    </w:p>
    <w:p>
      <w:pPr>
        <w:pStyle w:val="ListBullet"/>
        <w:spacing w:after="40"/>
      </w:pPr>
      <w:r>
        <w:t>the prediction</w:t>
      </w:r>
    </w:p>
    <w:p>
      <w:pPr>
        <w:pStyle w:val="ListBullet"/>
        <w:spacing w:after="40"/>
      </w:pPr>
      <w:r>
        <w:t>the confidence</w:t>
      </w:r>
    </w:p>
    <w:p>
      <w:pPr>
        <w:pStyle w:val="ListBullet"/>
        <w:spacing w:after="40"/>
      </w:pPr>
      <w:r>
        <w:t>the supporting interpretation</w:t>
      </w:r>
    </w:p>
    <w:p>
      <w:pPr>
        <w:pStyle w:val="ListBullet"/>
        <w:spacing w:after="40"/>
      </w:pPr>
      <w:r>
        <w:t>the case identity</w:t>
      </w:r>
    </w:p>
    <w:p>
      <w:pPr>
        <w:pStyle w:val="ListBullet"/>
        <w:spacing w:after="40"/>
      </w:pPr>
      <w:r>
        <w:t>an image or reference to the reviewed material</w:t>
      </w:r>
    </w:p>
    <w:p>
      <w:pPr>
        <w:pStyle w:val="ListBullet"/>
        <w:spacing w:after="40"/>
      </w:pPr>
      <w:r>
        <w:t>a document that can be retained or shared</w:t>
      </w:r>
    </w:p>
    <w:p>
      <w:pPr>
        <w:pStyle w:val="Heading3"/>
      </w:pPr>
      <w:r>
        <w:t>36.2 Report generation in the website</w:t>
      </w:r>
    </w:p>
    <w:p>
      <w:pPr>
        <w:spacing w:after="140"/>
      </w:pPr>
      <w:r>
        <w:rPr>
          <w:b w:val="0"/>
        </w:rPr>
        <w:t>The website’s report builder uses `pdf-lib` and the project’s own `buildCaseReportPdf` logic. That means a newly created case can produce a real downloadable PDF rather than only a web card.</w:t>
      </w:r>
    </w:p>
    <w:p>
      <w:pPr>
        <w:pStyle w:val="Heading3"/>
      </w:pPr>
      <w:r>
        <w:t>36.3 Report content style</w:t>
      </w:r>
    </w:p>
    <w:p>
      <w:pPr>
        <w:spacing w:after="140"/>
      </w:pPr>
      <w:r>
        <w:rPr>
          <w:b w:val="0"/>
        </w:rPr>
        <w:t>The reports are intentionally more clinician-facing than developer-facing. They include:</w:t>
      </w:r>
    </w:p>
    <w:p>
      <w:pPr>
        <w:pStyle w:val="ListBullet"/>
        <w:spacing w:after="40"/>
      </w:pPr>
      <w:r>
        <w:t>the case code and patient code</w:t>
      </w:r>
    </w:p>
    <w:p>
      <w:pPr>
        <w:pStyle w:val="ListBullet"/>
        <w:spacing w:after="40"/>
      </w:pPr>
      <w:r>
        <w:t>the title</w:t>
      </w:r>
    </w:p>
    <w:p>
      <w:pPr>
        <w:pStyle w:val="ListBullet"/>
        <w:spacing w:after="40"/>
      </w:pPr>
      <w:r>
        <w:t>the doctor identity context</w:t>
      </w:r>
    </w:p>
    <w:p>
      <w:pPr>
        <w:pStyle w:val="ListBullet"/>
        <w:spacing w:after="40"/>
      </w:pPr>
      <w:r>
        <w:t>the prediction summary</w:t>
      </w:r>
    </w:p>
    <w:p>
      <w:pPr>
        <w:pStyle w:val="ListBullet"/>
        <w:spacing w:after="40"/>
      </w:pPr>
      <w:r>
        <w:t>confidence-related information</w:t>
      </w:r>
    </w:p>
    <w:p>
      <w:pPr>
        <w:pStyle w:val="ListBullet"/>
        <w:spacing w:after="40"/>
      </w:pPr>
      <w:r>
        <w:t>the clinical note</w:t>
      </w:r>
    </w:p>
    <w:p>
      <w:pPr>
        <w:pStyle w:val="ListBullet"/>
        <w:spacing w:after="40"/>
      </w:pPr>
      <w:r>
        <w:t>explainability text</w:t>
      </w:r>
    </w:p>
    <w:p>
      <w:pPr>
        <w:pStyle w:val="ListBullet"/>
        <w:spacing w:after="40"/>
      </w:pPr>
      <w:r>
        <w:t>image/analysis visuals where available</w:t>
      </w:r>
    </w:p>
    <w:p>
      <w:pPr>
        <w:pStyle w:val="Heading3"/>
      </w:pPr>
      <w:r>
        <w:t>36.4 Why this matters for competition scoring</w:t>
      </w:r>
    </w:p>
    <w:p>
      <w:pPr>
        <w:spacing w:after="140"/>
      </w:pPr>
      <w:r>
        <w:rPr>
          <w:b w:val="0"/>
        </w:rPr>
        <w:t>This strengthens both:</w:t>
      </w:r>
    </w:p>
    <w:p>
      <w:pPr>
        <w:pStyle w:val="ListBullet"/>
        <w:spacing w:after="40"/>
      </w:pPr>
      <w:r>
        <w:t>impact and real-world application</w:t>
      </w:r>
    </w:p>
    <w:p>
      <w:pPr>
        <w:pStyle w:val="ListBullet"/>
        <w:spacing w:after="40"/>
      </w:pPr>
      <w:r>
        <w:t>methodology and implementation logic</w:t>
      </w:r>
    </w:p>
    <w:p>
      <w:pPr>
        <w:spacing w:after="140"/>
      </w:pPr>
      <w:r>
        <w:rPr>
          <w:b w:val="0"/>
        </w:rPr>
        <w:t>because it demonstrates that the project is not only a training script but a review-support system with documentation output.</w:t>
      </w:r>
    </w:p>
    <w:p>
      <w:pPr>
        <w:pStyle w:val="Heading2"/>
      </w:pPr>
      <w:r>
        <w:t>37 Doctor-facing website architecture in more depth</w:t>
      </w:r>
    </w:p>
    <w:p>
      <w:pPr>
        <w:spacing w:after="140"/>
      </w:pPr>
      <w:r>
        <w:rPr>
          <w:b w:val="0"/>
        </w:rPr>
        <w:t>The website is not a simple static landing page. It is organized as a workspace application.</w:t>
      </w:r>
    </w:p>
    <w:p>
      <w:pPr>
        <w:pStyle w:val="Heading3"/>
      </w:pPr>
      <w:r>
        <w:t>37.1 Core route groups</w:t>
      </w:r>
    </w:p>
    <w:p>
      <w:pPr>
        <w:spacing w:after="140"/>
      </w:pPr>
      <w:r>
        <w:rPr>
          <w:b w:val="0"/>
        </w:rPr>
        <w:t>The application contains:</w:t>
      </w:r>
    </w:p>
    <w:p>
      <w:pPr>
        <w:pStyle w:val="ListBullet"/>
        <w:spacing w:after="40"/>
      </w:pPr>
      <w:r>
        <w:t>landing page</w:t>
      </w:r>
    </w:p>
    <w:p>
      <w:pPr>
        <w:pStyle w:val="ListBullet"/>
        <w:spacing w:after="40"/>
      </w:pPr>
      <w:r>
        <w:t>login page</w:t>
      </w:r>
    </w:p>
    <w:p>
      <w:pPr>
        <w:pStyle w:val="ListBullet"/>
        <w:spacing w:after="40"/>
      </w:pPr>
      <w:r>
        <w:t>register page</w:t>
      </w:r>
    </w:p>
    <w:p>
      <w:pPr>
        <w:pStyle w:val="ListBullet"/>
        <w:spacing w:after="40"/>
      </w:pPr>
      <w:r>
        <w:t>dashboard</w:t>
      </w:r>
    </w:p>
    <w:p>
      <w:pPr>
        <w:pStyle w:val="ListBullet"/>
        <w:spacing w:after="40"/>
      </w:pPr>
      <w:r>
        <w:t>new case page</w:t>
      </w:r>
    </w:p>
    <w:p>
      <w:pPr>
        <w:pStyle w:val="ListBullet"/>
        <w:spacing w:after="40"/>
      </w:pPr>
      <w:r>
        <w:t>case detail page</w:t>
      </w:r>
    </w:p>
    <w:p>
      <w:pPr>
        <w:pStyle w:val="ListBullet"/>
        <w:spacing w:after="40"/>
      </w:pPr>
      <w:r>
        <w:t>history</w:t>
      </w:r>
    </w:p>
    <w:p>
      <w:pPr>
        <w:pStyle w:val="ListBullet"/>
        <w:spacing w:after="40"/>
      </w:pPr>
      <w:r>
        <w:t>patient list</w:t>
      </w:r>
    </w:p>
    <w:p>
      <w:pPr>
        <w:pStyle w:val="ListBullet"/>
        <w:spacing w:after="40"/>
      </w:pPr>
      <w:r>
        <w:t>patient detail</w:t>
      </w:r>
    </w:p>
    <w:p>
      <w:pPr>
        <w:pStyle w:val="ListBullet"/>
        <w:spacing w:after="40"/>
      </w:pPr>
      <w:r>
        <w:t>reports</w:t>
      </w:r>
    </w:p>
    <w:p>
      <w:pPr>
        <w:pStyle w:val="ListBullet"/>
        <w:spacing w:after="40"/>
      </w:pPr>
      <w:r>
        <w:t>profile</w:t>
      </w:r>
    </w:p>
    <w:p>
      <w:pPr>
        <w:pStyle w:val="ListBullet"/>
        <w:spacing w:after="40"/>
      </w:pPr>
      <w:r>
        <w:t>settings</w:t>
      </w:r>
    </w:p>
    <w:p>
      <w:pPr>
        <w:pStyle w:val="Heading3"/>
      </w:pPr>
      <w:r>
        <w:t>37.2 Local versus cloud modes</w:t>
      </w:r>
    </w:p>
    <w:p>
      <w:pPr>
        <w:spacing w:after="140"/>
      </w:pPr>
      <w:r>
        <w:rPr>
          <w:b w:val="0"/>
        </w:rPr>
        <w:t>The site can operate in two broad modes:</w:t>
      </w:r>
    </w:p>
    <w:p>
      <w:pPr>
        <w:spacing w:after="140"/>
      </w:pPr>
      <w:r>
        <w:rPr>
          <w:b w:val="0"/>
        </w:rPr>
        <w:t>Local mode:</w:t>
      </w:r>
    </w:p>
    <w:p>
      <w:pPr>
        <w:pStyle w:val="ListBullet"/>
        <w:spacing w:after="40"/>
      </w:pPr>
      <w:r>
        <w:t>uses local doctor accounts</w:t>
      </w:r>
    </w:p>
    <w:p>
      <w:pPr>
        <w:pStyle w:val="ListBullet"/>
        <w:spacing w:after="40"/>
      </w:pPr>
      <w:r>
        <w:t>uses local JSON-backed case and patient storage</w:t>
      </w:r>
    </w:p>
    <w:p>
      <w:pPr>
        <w:pStyle w:val="ListBullet"/>
        <w:spacing w:after="40"/>
      </w:pPr>
      <w:r>
        <w:t>supports offline/local evaluation</w:t>
      </w:r>
    </w:p>
    <w:p>
      <w:pPr>
        <w:pStyle w:val="ListBullet"/>
        <w:spacing w:after="40"/>
      </w:pPr>
      <w:r>
        <w:t>can fall back to local Python inference</w:t>
      </w:r>
    </w:p>
    <w:p>
      <w:pPr>
        <w:spacing w:after="140"/>
      </w:pPr>
      <w:r>
        <w:rPr>
          <w:b w:val="0"/>
        </w:rPr>
        <w:t>Cloud-ready mode:</w:t>
      </w:r>
    </w:p>
    <w:p>
      <w:pPr>
        <w:pStyle w:val="ListBullet"/>
        <w:spacing w:after="40"/>
      </w:pPr>
      <w:r>
        <w:t>uses Supabase auth</w:t>
      </w:r>
    </w:p>
    <w:p>
      <w:pPr>
        <w:pStyle w:val="ListBullet"/>
        <w:spacing w:after="40"/>
      </w:pPr>
      <w:r>
        <w:t>uses Supabase database tables</w:t>
      </w:r>
    </w:p>
    <w:p>
      <w:pPr>
        <w:pStyle w:val="ListBullet"/>
        <w:spacing w:after="40"/>
      </w:pPr>
      <w:r>
        <w:t>uses Supabase storage buckets</w:t>
      </w:r>
    </w:p>
    <w:p>
      <w:pPr>
        <w:pStyle w:val="ListBullet"/>
        <w:spacing w:after="40"/>
      </w:pPr>
      <w:r>
        <w:t>expects a real inference API URL</w:t>
      </w:r>
    </w:p>
    <w:p>
      <w:pPr>
        <w:pStyle w:val="Heading3"/>
      </w:pPr>
      <w:r>
        <w:t>37.3 Why both modes exist</w:t>
      </w:r>
    </w:p>
    <w:p>
      <w:pPr>
        <w:spacing w:after="140"/>
      </w:pPr>
      <w:r>
        <w:rPr>
          <w:b w:val="0"/>
        </w:rPr>
        <w:t>The local mode made it possible to keep iterating on the interface while the full deployment stack was still being prepared. The cloud-ready mode makes the site translatable to real hosting instead of remaining a purely local demo.</w:t>
      </w:r>
    </w:p>
    <w:p>
      <w:pPr>
        <w:pStyle w:val="Heading3"/>
      </w:pPr>
      <w:r>
        <w:t>37.4 Patient CRUD</w:t>
      </w:r>
    </w:p>
    <w:p>
      <w:pPr>
        <w:spacing w:after="140"/>
      </w:pPr>
      <w:r>
        <w:rPr>
          <w:b w:val="0"/>
        </w:rPr>
        <w:t>Patient create, update, and delete were added to the local workspace so the doctor-facing flow would feel more like a real review system and less like a developer-only prototype.</w:t>
      </w:r>
    </w:p>
    <w:p>
      <w:pPr>
        <w:pStyle w:val="Heading2"/>
      </w:pPr>
      <w:r>
        <w:t>38 Vercel deployment implementation details</w:t>
      </w:r>
    </w:p>
    <w:p>
      <w:pPr>
        <w:spacing w:after="140"/>
      </w:pPr>
      <w:r>
        <w:rPr>
          <w:b w:val="0"/>
        </w:rPr>
        <w:t>The Vercel readiness work was not only a documentation change; it required code changes to make hosting behavior honest and safer.</w:t>
      </w:r>
    </w:p>
    <w:p>
      <w:pPr>
        <w:pStyle w:val="Heading3"/>
      </w:pPr>
      <w:r>
        <w:t>38.1 Website-side hosted inference behavior</w:t>
      </w:r>
    </w:p>
    <w:p>
      <w:pPr>
        <w:spacing w:after="140"/>
      </w:pPr>
      <w:r>
        <w:rPr>
          <w:b w:val="0"/>
        </w:rPr>
        <w:t>Originally, the website could fall back to running the local Python inference script. That is useful for local development but not appropriate for a hosted Vercel deployment. The website inference service helper was therefore changed to:</w:t>
      </w:r>
    </w:p>
    <w:p>
      <w:pPr>
        <w:pStyle w:val="ListBullet"/>
        <w:spacing w:after="40"/>
      </w:pPr>
      <w:r>
        <w:t>use `INFERENCE_API_URL` when provided</w:t>
      </w:r>
    </w:p>
    <w:p>
      <w:pPr>
        <w:pStyle w:val="ListBullet"/>
        <w:spacing w:after="40"/>
      </w:pPr>
      <w:r>
        <w:t>allow local fallback only outside hosted deployment</w:t>
      </w:r>
    </w:p>
    <w:p>
      <w:pPr>
        <w:pStyle w:val="ListBullet"/>
        <w:spacing w:after="40"/>
      </w:pPr>
      <w:r>
        <w:t>return a clean "not configured" reason if hosted inference is unavailable</w:t>
      </w:r>
    </w:p>
    <w:p>
      <w:pPr>
        <w:pStyle w:val="Heading3"/>
      </w:pPr>
      <w:r>
        <w:t>38.2 Inference-service Vercel entrypoint</w:t>
      </w:r>
    </w:p>
    <w:p>
      <w:pPr>
        <w:spacing w:after="140"/>
      </w:pPr>
      <w:r>
        <w:rPr>
          <w:b w:val="0"/>
        </w:rPr>
        <w:t>Vercel’s FastAPI support expects a supported entrypoint. An explicit `app/app.py` wrapper was therefore added so the service exposes its FastAPI app in a Vercel-compatible location.</w:t>
      </w:r>
    </w:p>
    <w:p>
      <w:pPr>
        <w:pStyle w:val="Heading3"/>
      </w:pPr>
      <w:r>
        <w:t>38.3 Model-asset staging</w:t>
      </w:r>
    </w:p>
    <w:p>
      <w:pPr>
        <w:spacing w:after="140"/>
      </w:pPr>
      <w:r>
        <w:rPr>
          <w:b w:val="0"/>
        </w:rPr>
        <w:t>Because the model artifacts live outside the inference folder in the repo, `build.py` was added to stage the required files into `model_assets/` during a hosted build. This is a practical deployment step, not just a documentation note.</w:t>
      </w:r>
    </w:p>
    <w:p>
      <w:pPr>
        <w:pStyle w:val="Heading3"/>
      </w:pPr>
      <w:r>
        <w:t>38.4 Function limits</w:t>
      </w:r>
    </w:p>
    <w:p>
      <w:pPr>
        <w:spacing w:after="140"/>
      </w:pPr>
      <w:r>
        <w:rPr>
          <w:b w:val="0"/>
        </w:rPr>
        <w:t>The root `vercel.json` now defines the `inference` service with an increased memory and duration budget. This does not solve every production constraint, but it makes the hosted deployment more realistic than leaving the Python service completely unbounded or implicit.</w:t>
      </w:r>
    </w:p>
    <w:p>
      <w:pPr>
        <w:pStyle w:val="Heading2"/>
      </w:pPr>
      <w:r>
        <w:t>39 Competition-oriented interpretation of the whole project</w:t>
      </w:r>
    </w:p>
    <w:p>
      <w:pPr>
        <w:spacing w:after="140"/>
      </w:pPr>
      <w:r>
        <w:rPr>
          <w:b w:val="0"/>
        </w:rPr>
        <w:t>PlasmaXAI scores well conceptually because it addresses multiple judging axes at once.</w:t>
      </w:r>
    </w:p>
    <w:p>
      <w:pPr>
        <w:spacing w:after="140"/>
      </w:pPr>
      <w:r>
        <w:rPr>
          <w:b w:val="0"/>
        </w:rPr>
        <w:t>Clarity of problem:</w:t>
      </w:r>
    </w:p>
    <w:p>
      <w:pPr>
        <w:pStyle w:val="ListBullet"/>
        <w:spacing w:after="40"/>
      </w:pPr>
      <w:r>
        <w:t>medically relevant problem</w:t>
      </w:r>
    </w:p>
    <w:p>
      <w:pPr>
        <w:pStyle w:val="ListBullet"/>
        <w:spacing w:after="40"/>
      </w:pPr>
      <w:r>
        <w:t>clear need for explainable support</w:t>
      </w:r>
    </w:p>
    <w:p>
      <w:pPr>
        <w:pStyle w:val="ListBullet"/>
        <w:spacing w:after="40"/>
      </w:pPr>
      <w:r>
        <w:t>clear difference between notebook baseline and final framework</w:t>
      </w:r>
    </w:p>
    <w:p>
      <w:pPr>
        <w:spacing w:after="140"/>
      </w:pPr>
      <w:r>
        <w:rPr>
          <w:b w:val="0"/>
        </w:rPr>
        <w:t>Impact and real-world application:</w:t>
      </w:r>
    </w:p>
    <w:p>
      <w:pPr>
        <w:pStyle w:val="ListBullet"/>
        <w:spacing w:after="40"/>
      </w:pPr>
      <w:r>
        <w:t>useful in review-heavy workflows</w:t>
      </w:r>
    </w:p>
    <w:p>
      <w:pPr>
        <w:pStyle w:val="ListBullet"/>
        <w:spacing w:after="40"/>
      </w:pPr>
      <w:r>
        <w:t>can support documentation and patient follow-up</w:t>
      </w:r>
    </w:p>
    <w:p>
      <w:pPr>
        <w:pStyle w:val="ListBullet"/>
        <w:spacing w:after="40"/>
      </w:pPr>
      <w:r>
        <w:t>website strengthens translational credibility</w:t>
      </w:r>
    </w:p>
    <w:p>
      <w:pPr>
        <w:spacing w:after="140"/>
      </w:pPr>
      <w:r>
        <w:rPr>
          <w:b w:val="0"/>
        </w:rPr>
        <w:t>Methodology:</w:t>
      </w:r>
    </w:p>
    <w:p>
      <w:pPr>
        <w:pStyle w:val="ListBullet"/>
        <w:spacing w:after="40"/>
      </w:pPr>
      <w:r>
        <w:t>combined deep image features and handcrafted morphology</w:t>
      </w:r>
    </w:p>
    <w:p>
      <w:pPr>
        <w:pStyle w:val="ListBullet"/>
        <w:spacing w:after="40"/>
      </w:pPr>
      <w:r>
        <w:t>used a learned fusion architecture</w:t>
      </w:r>
    </w:p>
    <w:p>
      <w:pPr>
        <w:pStyle w:val="ListBullet"/>
        <w:spacing w:after="40"/>
      </w:pPr>
      <w:r>
        <w:t>embedded counterfactual reasoning inside the model path</w:t>
      </w:r>
    </w:p>
    <w:p>
      <w:pPr>
        <w:pStyle w:val="ListBullet"/>
        <w:spacing w:after="40"/>
      </w:pPr>
      <w:r>
        <w:t>supported claims with ablation and bootstrap</w:t>
      </w:r>
    </w:p>
    <w:p>
      <w:pPr>
        <w:spacing w:after="140"/>
      </w:pPr>
      <w:r>
        <w:rPr>
          <w:b w:val="0"/>
        </w:rPr>
        <w:t>Originality:</w:t>
      </w:r>
    </w:p>
    <w:p>
      <w:pPr>
        <w:pStyle w:val="ListBullet"/>
        <w:spacing w:after="40"/>
      </w:pPr>
      <w:r>
        <w:t>not just a static ensemble</w:t>
      </w:r>
    </w:p>
    <w:p>
      <w:pPr>
        <w:pStyle w:val="ListBullet"/>
        <w:spacing w:after="40"/>
      </w:pPr>
      <w:r>
        <w:t>counterfactual path is functionally integrated</w:t>
      </w:r>
    </w:p>
    <w:p>
      <w:pPr>
        <w:pStyle w:val="ListBullet"/>
        <w:spacing w:after="40"/>
      </w:pPr>
      <w:r>
        <w:t>patient-level exploratory analysis extends beyond standard image</w:t>
      </w:r>
    </w:p>
    <w:p>
      <w:pPr>
        <w:spacing w:after="140"/>
      </w:pPr>
      <w:r>
        <w:rPr>
          <w:b w:val="0"/>
        </w:rPr>
        <w:t>classification</w:t>
      </w:r>
    </w:p>
    <w:p>
      <w:pPr>
        <w:spacing w:after="140"/>
      </w:pPr>
      <w:r>
        <w:rPr>
          <w:b w:val="0"/>
        </w:rPr>
        <w:t>Expected outcomes:</w:t>
      </w:r>
    </w:p>
    <w:p>
      <w:pPr>
        <w:pStyle w:val="ListBullet"/>
        <w:spacing w:after="40"/>
      </w:pPr>
      <w:r>
        <w:t>strong test metrics</w:t>
      </w:r>
    </w:p>
    <w:p>
      <w:pPr>
        <w:pStyle w:val="ListBullet"/>
        <w:spacing w:after="40"/>
      </w:pPr>
      <w:r>
        <w:t>good precision/recall balance</w:t>
      </w:r>
    </w:p>
    <w:p>
      <w:pPr>
        <w:pStyle w:val="ListBullet"/>
        <w:spacing w:after="40"/>
      </w:pPr>
      <w:r>
        <w:t>clear benchmark improvement</w:t>
      </w:r>
    </w:p>
    <w:p>
      <w:pPr>
        <w:spacing w:after="140"/>
      </w:pPr>
      <w:r>
        <w:rPr>
          <w:b w:val="0"/>
        </w:rPr>
        <w:t>Domain relevance:</w:t>
      </w:r>
    </w:p>
    <w:p>
      <w:pPr>
        <w:pStyle w:val="ListBullet"/>
        <w:spacing w:after="40"/>
      </w:pPr>
      <w:r>
        <w:t>AI in medicine</w:t>
      </w:r>
    </w:p>
    <w:p>
      <w:pPr>
        <w:pStyle w:val="ListBullet"/>
        <w:spacing w:after="40"/>
      </w:pPr>
      <w:r>
        <w:t>explainable AI</w:t>
      </w:r>
    </w:p>
    <w:p>
      <w:pPr>
        <w:pStyle w:val="ListBullet"/>
        <w:spacing w:after="40"/>
      </w:pPr>
      <w:r>
        <w:t>digital pathology / hematology</w:t>
      </w:r>
    </w:p>
    <w:p>
      <w:pPr>
        <w:pStyle w:val="ListBullet"/>
        <w:spacing w:after="40"/>
      </w:pPr>
      <w:r>
        <w:t>clinically meaningful deployment framing</w:t>
      </w:r>
    </w:p>
    <w:p>
      <w:pPr>
        <w:pStyle w:val="Heading2"/>
      </w:pPr>
      <w:r>
        <w:t>40 Why PlasmaXAI should be described as a framework, not just a model</w:t>
      </w:r>
    </w:p>
    <w:p>
      <w:pPr>
        <w:spacing w:after="140"/>
      </w:pPr>
      <w:r>
        <w:rPr>
          <w:b w:val="0"/>
        </w:rPr>
        <w:t>The word "framework" is appropriate here because the project includes:</w:t>
      </w:r>
    </w:p>
    <w:p>
      <w:pPr>
        <w:pStyle w:val="ListBullet"/>
        <w:spacing w:after="40"/>
      </w:pPr>
      <w:r>
        <w:t>multi-stage development</w:t>
      </w:r>
    </w:p>
    <w:p>
      <w:pPr>
        <w:pStyle w:val="ListBullet"/>
        <w:spacing w:after="40"/>
      </w:pPr>
      <w:r>
        <w:t>multiple data modalities</w:t>
      </w:r>
    </w:p>
    <w:p>
      <w:pPr>
        <w:pStyle w:val="ListBullet"/>
        <w:spacing w:after="40"/>
      </w:pPr>
      <w:r>
        <w:t>explicit threshold-selection logic</w:t>
      </w:r>
    </w:p>
    <w:p>
      <w:pPr>
        <w:pStyle w:val="ListBullet"/>
        <w:spacing w:after="40"/>
      </w:pPr>
      <w:r>
        <w:t>explainability integration</w:t>
      </w:r>
    </w:p>
    <w:p>
      <w:pPr>
        <w:pStyle w:val="ListBullet"/>
        <w:spacing w:after="40"/>
      </w:pPr>
      <w:r>
        <w:t>ablation and robustness logic</w:t>
      </w:r>
    </w:p>
    <w:p>
      <w:pPr>
        <w:pStyle w:val="ListBullet"/>
        <w:spacing w:after="40"/>
      </w:pPr>
      <w:r>
        <w:t>patient-level aggregation</w:t>
      </w:r>
    </w:p>
    <w:p>
      <w:pPr>
        <w:pStyle w:val="ListBullet"/>
        <w:spacing w:after="40"/>
      </w:pPr>
      <w:r>
        <w:t>diagram and report infrastructure</w:t>
      </w:r>
    </w:p>
    <w:p>
      <w:pPr>
        <w:pStyle w:val="ListBullet"/>
        <w:spacing w:after="40"/>
      </w:pPr>
      <w:r>
        <w:t>a doctor-facing web interface</w:t>
      </w:r>
    </w:p>
    <w:p>
      <w:pPr>
        <w:pStyle w:val="ListBullet"/>
        <w:spacing w:after="40"/>
      </w:pPr>
      <w:r>
        <w:t>a deployable inference service</w:t>
      </w:r>
    </w:p>
    <w:p>
      <w:pPr>
        <w:spacing w:after="140"/>
      </w:pPr>
      <w:r>
        <w:rPr>
          <w:b w:val="0"/>
        </w:rPr>
        <w:t>If the work had ended at a single trained `.pth` file and one ROC curve, it would be more accurate to call it a model. Because it includes the broader design, interpretability, and translation layer, "framework" is the right word.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lock">
    <w:name w:val="EquationBlock"/>
    <w:pPr>
      <w:spacing w:before="80" w:after="80"/>
    </w:pPr>
    <w:rPr>
      <w:rFonts w:ascii="Consolas" w:hAnsi="Consolas"/>
      <w:sz w:val="20"/>
    </w:rPr>
  </w:style>
  <w:style w:type="paragraph" w:customStyle="1" w:styleId="CaptionSmall">
    <w:name w:val="CaptionSmall"/>
    <w:pPr>
      <w:spacing w:before="60" w:after="16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PlasmaXAI Ultra-Detailed Research Architecture Compendium</dc:title>
  <dc:subject/>
  <dc:creator>Arnob Aich Anurag / 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