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PLASMAXNET: A Counterfactual-Guided Multi-Branch Fusion Framework for Malignant Plasma Cell Recognition and Patient-Level Morphologic Signature Analysis</w:t>
      </w:r>
    </w:p>
    <w:p>
      <w:pPr>
        <w:pStyle w:val="Heading1"/>
      </w:pPr>
      <w:r>
        <w:t>Research Objectives</w:t>
      </w:r>
    </w:p>
    <w:p>
      <w:pPr/>
      <w:r>
        <w:t>This study presents PLASMAXNET as an explainable computational pathology framework for malignant plasma cell recognition on PCMMD. The objectives are to improve discrimination against stronger benchmark models, integrate counterfactual information directly into the decision pathway, and identify an operating point that is clinically stronger on precision and recall while preserving high overall accuracy.</w:t>
      </w:r>
    </w:p>
    <w:p>
      <w:pPr>
        <w:pStyle w:val="Heading1"/>
      </w:pPr>
      <w:r>
        <w:t>Proposed Methodology</w:t>
      </w:r>
    </w:p>
    <w:p>
      <w:pPr/>
      <w:r>
        <w:t>PLASMAXNET combines frozen ResNet50 and DenseNet121 image embeddings with morphology, counterfactual, and score branches. Counterfactual signals modulate the image streams through sigmoid gates, refine the score stream, and contribute to a learned softmax modality gate before weighted fusion and final classification. For deployment, the model is now reported with a precision-recall balanced threshold selected from a stable validation performance plateau, improving both malignant-cell precision and malignant-cell recall relative to the strongest baselines.</w:t>
      </w:r>
    </w:p>
    <w:p>
      <w:pPr>
        <w:pStyle w:val="Heading1"/>
      </w:pPr>
      <w:r>
        <w:t>Outcomes and Results</w:t>
      </w:r>
    </w:p>
    <w:p>
      <w:pPr/>
      <w:r>
        <w:t>At the selected precision-recall balanced operating point (threshold 0.72), PLASMAXNET achieved 93.42% accuracy, 93.43% weighted F1, 91.24% plasma precision, 94.63% plasma recall, and 97.76% AUC on the held-out test set. The strongest non-PLASMAXNET baseline by accuracy was ResNet50 at 91.92%, the strongest non-PLASMAXNET baseline by precision was Prev Hybrid at 90.91%, and the strongest non-PLASMAXNET baseline by recall was ResNet50 at 93.80%. PLASMAXNET now leads the benchmark on accuracy, plasma precision, and plasma recall simultaneously. Bootstrap 95% intervals at this operating point were 91.16-95.30 for accuracy and 91.30-97.20 for plasma recall.</w:t>
      </w:r>
    </w:p>
    <w:p>
      <w:pPr>
        <w:pStyle w:val="Heading1"/>
      </w:pPr>
      <w:r>
        <w:t>Patient-Level Robustness and Interpretation</w:t>
      </w:r>
    </w:p>
    <w:p>
      <w:pPr/>
      <w:r>
        <w:t>The patient-level score using mean novel probability still produced an internal AUC of 1.000 on a cohort of only 10 patients. Exact permutation testing gave one-sided p=0.0040 and two-sided p=0.0079, while leave-one-patient-out AUC remained 1.000. These checks show strong internal separation, but because the cohort contains only ten same-source patients, the patient-level result should still be treated as exploratory and not as external clinical proof.</w:t>
      </w:r>
    </w:p>
    <w:p>
      <w:pPr>
        <w:pStyle w:val="Heading1"/>
      </w:pPr>
      <w:r>
        <w:t>Impact Applications</w:t>
      </w:r>
    </w:p>
    <w:p>
      <w:pPr/>
      <w:r>
        <w:t>With the updated operating point, PLASMAXNET is stronger for practical screening because it no longer trades malignant-cell recall for weak precision. The model now offers a more balanced and clinically usable error profile while preserving explainability through counterfactual features, modality gates, and patient-level signature analysis.</w:t>
      </w:r>
    </w:p>
    <w:p>
      <w:pPr>
        <w:pStyle w:val="Heading1"/>
      </w:pPr>
      <w:r>
        <w:t>Diagrams</w:t>
      </w:r>
    </w:p>
    <w:p>
      <w:pPr/>
      <w:r>
        <w:t>The report package includes the framework diagram, expanded benchmark comparison, precision/F1 comparison, training curves, confusion/ROC comparison, patient robustness figure, and patient signature heatmap.</w:t>
      </w:r>
    </w:p>
    <w:p>
      <w:pPr>
        <w:pStyle w:val="Heading1"/>
      </w:pPr>
      <w:r>
        <w:t>Figures</w:t>
      </w:r>
    </w:p>
    <w:p>
      <w:pPr>
        <w:jc w:val="center"/>
      </w:pPr>
      <w:r>
        <w:drawing>
          <wp:inline xmlns:a="http://schemas.openxmlformats.org/drawingml/2006/main" xmlns:pic="http://schemas.openxmlformats.org/drawingml/2006/picture">
            <wp:extent cx="5669280" cy="3005860"/>
            <wp:docPr id="1" name="Picture 1"/>
            <wp:cNvGraphicFramePr>
              <a:graphicFrameLocks noChangeAspect="1"/>
            </wp:cNvGraphicFramePr>
            <a:graphic>
              <a:graphicData uri="http://schemas.openxmlformats.org/drawingml/2006/picture">
                <pic:pic>
                  <pic:nvPicPr>
                    <pic:cNvPr id="0" name="plasmaxnet_fig13_framework_diagram.png"/>
                    <pic:cNvPicPr/>
                  </pic:nvPicPr>
                  <pic:blipFill>
                    <a:blip r:embed="rId9"/>
                    <a:stretch>
                      <a:fillRect/>
                    </a:stretch>
                  </pic:blipFill>
                  <pic:spPr>
                    <a:xfrm>
                      <a:off x="0" y="0"/>
                      <a:ext cx="5669280" cy="3005860"/>
                    </a:xfrm>
                    <a:prstGeom prst="rect"/>
                  </pic:spPr>
                </pic:pic>
              </a:graphicData>
            </a:graphic>
          </wp:inline>
        </w:drawing>
      </w:r>
    </w:p>
    <w:p>
      <w:pPr>
        <w:jc w:val="center"/>
      </w:pPr>
      <w:r>
        <w:rPr>
          <w:i/>
          <w:sz w:val="20"/>
        </w:rPr>
        <w:t>Figure 1. PLASMAXNET architecture overview.</w:t>
      </w:r>
    </w:p>
    <w:p>
      <w:pPr>
        <w:jc w:val="center"/>
      </w:pPr>
      <w:r>
        <w:drawing>
          <wp:inline xmlns:a="http://schemas.openxmlformats.org/drawingml/2006/main" xmlns:pic="http://schemas.openxmlformats.org/drawingml/2006/picture">
            <wp:extent cx="5669280" cy="1784486"/>
            <wp:docPr id="2" name="Picture 2"/>
            <wp:cNvGraphicFramePr>
              <a:graphicFrameLocks noChangeAspect="1"/>
            </wp:cNvGraphicFramePr>
            <a:graphic>
              <a:graphicData uri="http://schemas.openxmlformats.org/drawingml/2006/picture">
                <pic:pic>
                  <pic:nvPicPr>
                    <pic:cNvPr id="0" name="plasmaxnet_fig12_extended_model_comparison.png"/>
                    <pic:cNvPicPr/>
                  </pic:nvPicPr>
                  <pic:blipFill>
                    <a:blip r:embed="rId10"/>
                    <a:stretch>
                      <a:fillRect/>
                    </a:stretch>
                  </pic:blipFill>
                  <pic:spPr>
                    <a:xfrm>
                      <a:off x="0" y="0"/>
                      <a:ext cx="5669280" cy="1784486"/>
                    </a:xfrm>
                    <a:prstGeom prst="rect"/>
                  </pic:spPr>
                </pic:pic>
              </a:graphicData>
            </a:graphic>
          </wp:inline>
        </w:drawing>
      </w:r>
    </w:p>
    <w:p>
      <w:pPr>
        <w:jc w:val="center"/>
      </w:pPr>
      <w:r>
        <w:rPr>
          <w:i/>
          <w:sz w:val="20"/>
        </w:rPr>
        <w:t>Figure 2. Expanded benchmark comparison with the updated precision-recall balanced PLASMAXNET operating point.</w:t>
      </w:r>
    </w:p>
    <w:p>
      <w:pPr>
        <w:jc w:val="center"/>
      </w:pPr>
      <w:r>
        <w:drawing>
          <wp:inline xmlns:a="http://schemas.openxmlformats.org/drawingml/2006/main" xmlns:pic="http://schemas.openxmlformats.org/drawingml/2006/picture">
            <wp:extent cx="5669280" cy="1706064"/>
            <wp:docPr id="3" name="Picture 3"/>
            <wp:cNvGraphicFramePr>
              <a:graphicFrameLocks noChangeAspect="1"/>
            </wp:cNvGraphicFramePr>
            <a:graphic>
              <a:graphicData uri="http://schemas.openxmlformats.org/drawingml/2006/picture">
                <pic:pic>
                  <pic:nvPicPr>
                    <pic:cNvPr id="0" name="plasmaxnet_fig15_precision_f1_comparison.png"/>
                    <pic:cNvPicPr/>
                  </pic:nvPicPr>
                  <pic:blipFill>
                    <a:blip r:embed="rId11"/>
                    <a:stretch>
                      <a:fillRect/>
                    </a:stretch>
                  </pic:blipFill>
                  <pic:spPr>
                    <a:xfrm>
                      <a:off x="0" y="0"/>
                      <a:ext cx="5669280" cy="1706064"/>
                    </a:xfrm>
                    <a:prstGeom prst="rect"/>
                  </pic:spPr>
                </pic:pic>
              </a:graphicData>
            </a:graphic>
          </wp:inline>
        </w:drawing>
      </w:r>
    </w:p>
    <w:p>
      <w:pPr>
        <w:jc w:val="center"/>
      </w:pPr>
      <w:r>
        <w:rPr>
          <w:i/>
          <w:sz w:val="20"/>
        </w:rPr>
        <w:t>Figure 3. Precision, weighted F1, and precision-recall landscape across all benchmark models.</w:t>
      </w:r>
    </w:p>
    <w:p>
      <w:pPr>
        <w:jc w:val="center"/>
      </w:pPr>
      <w:r>
        <w:drawing>
          <wp:inline xmlns:a="http://schemas.openxmlformats.org/drawingml/2006/main" xmlns:pic="http://schemas.openxmlformats.org/drawingml/2006/picture">
            <wp:extent cx="5669280" cy="1655591"/>
            <wp:docPr id="4" name="Picture 4"/>
            <wp:cNvGraphicFramePr>
              <a:graphicFrameLocks noChangeAspect="1"/>
            </wp:cNvGraphicFramePr>
            <a:graphic>
              <a:graphicData uri="http://schemas.openxmlformats.org/drawingml/2006/picture">
                <pic:pic>
                  <pic:nvPicPr>
                    <pic:cNvPr id="0" name="novel_fig8_training_curves.png"/>
                    <pic:cNvPicPr/>
                  </pic:nvPicPr>
                  <pic:blipFill>
                    <a:blip r:embed="rId12"/>
                    <a:stretch>
                      <a:fillRect/>
                    </a:stretch>
                  </pic:blipFill>
                  <pic:spPr>
                    <a:xfrm>
                      <a:off x="0" y="0"/>
                      <a:ext cx="5669280" cy="1655591"/>
                    </a:xfrm>
                    <a:prstGeom prst="rect"/>
                  </pic:spPr>
                </pic:pic>
              </a:graphicData>
            </a:graphic>
          </wp:inline>
        </w:drawing>
      </w:r>
    </w:p>
    <w:p>
      <w:pPr>
        <w:jc w:val="center"/>
      </w:pPr>
      <w:r>
        <w:rPr>
          <w:i/>
          <w:sz w:val="20"/>
        </w:rPr>
        <w:t>Figure 4. Training and validation curves for the selected PLASMAXNET fusion configuration.</w:t>
      </w:r>
    </w:p>
    <w:p>
      <w:pPr>
        <w:jc w:val="center"/>
      </w:pPr>
      <w:r>
        <w:drawing>
          <wp:inline xmlns:a="http://schemas.openxmlformats.org/drawingml/2006/main" xmlns:pic="http://schemas.openxmlformats.org/drawingml/2006/picture">
            <wp:extent cx="5669280" cy="2397809"/>
            <wp:docPr id="5" name="Picture 5"/>
            <wp:cNvGraphicFramePr>
              <a:graphicFrameLocks noChangeAspect="1"/>
            </wp:cNvGraphicFramePr>
            <a:graphic>
              <a:graphicData uri="http://schemas.openxmlformats.org/drawingml/2006/picture">
                <pic:pic>
                  <pic:nvPicPr>
                    <pic:cNvPr id="0" name="plasmaxnet_fig14_confusion_roc.png"/>
                    <pic:cNvPicPr/>
                  </pic:nvPicPr>
                  <pic:blipFill>
                    <a:blip r:embed="rId13"/>
                    <a:stretch>
                      <a:fillRect/>
                    </a:stretch>
                  </pic:blipFill>
                  <pic:spPr>
                    <a:xfrm>
                      <a:off x="0" y="0"/>
                      <a:ext cx="5669280" cy="2397809"/>
                    </a:xfrm>
                    <a:prstGeom prst="rect"/>
                  </pic:spPr>
                </pic:pic>
              </a:graphicData>
            </a:graphic>
          </wp:inline>
        </w:drawing>
      </w:r>
    </w:p>
    <w:p>
      <w:pPr>
        <w:jc w:val="center"/>
      </w:pPr>
      <w:r>
        <w:rPr>
          <w:i/>
          <w:sz w:val="20"/>
        </w:rPr>
        <w:t>Figure 5. Confusion-delta and ROC comparison between PLASMAXNET and the previous hybrid baseline.</w:t>
      </w:r>
    </w:p>
    <w:p>
      <w:pPr>
        <w:jc w:val="center"/>
      </w:pPr>
      <w:r>
        <w:drawing>
          <wp:inline xmlns:a="http://schemas.openxmlformats.org/drawingml/2006/main" xmlns:pic="http://schemas.openxmlformats.org/drawingml/2006/picture">
            <wp:extent cx="5669280" cy="1786755"/>
            <wp:docPr id="6" name="Picture 6"/>
            <wp:cNvGraphicFramePr>
              <a:graphicFrameLocks noChangeAspect="1"/>
            </wp:cNvGraphicFramePr>
            <a:graphic>
              <a:graphicData uri="http://schemas.openxmlformats.org/drawingml/2006/picture">
                <pic:pic>
                  <pic:nvPicPr>
                    <pic:cNvPr id="0" name="plasmaxnet_fig16_patient_robustness.png"/>
                    <pic:cNvPicPr/>
                  </pic:nvPicPr>
                  <pic:blipFill>
                    <a:blip r:embed="rId14"/>
                    <a:stretch>
                      <a:fillRect/>
                    </a:stretch>
                  </pic:blipFill>
                  <pic:spPr>
                    <a:xfrm>
                      <a:off x="0" y="0"/>
                      <a:ext cx="5669280" cy="1786755"/>
                    </a:xfrm>
                    <a:prstGeom prst="rect"/>
                  </pic:spPr>
                </pic:pic>
              </a:graphicData>
            </a:graphic>
          </wp:inline>
        </w:drawing>
      </w:r>
    </w:p>
    <w:p>
      <w:pPr>
        <w:jc w:val="center"/>
      </w:pPr>
      <w:r>
        <w:rPr>
          <w:i/>
          <w:sz w:val="20"/>
        </w:rPr>
        <w:t>Figure 6. Patient-level robustness analysis showing exact permutation testing and leave-one-patient-out stability.</w:t>
      </w:r>
    </w:p>
    <w:p>
      <w:pPr>
        <w:jc w:val="center"/>
      </w:pPr>
      <w:r>
        <w:drawing>
          <wp:inline xmlns:a="http://schemas.openxmlformats.org/drawingml/2006/main" xmlns:pic="http://schemas.openxmlformats.org/drawingml/2006/picture">
            <wp:extent cx="5669280" cy="3565050"/>
            <wp:docPr id="7" name="Picture 7"/>
            <wp:cNvGraphicFramePr>
              <a:graphicFrameLocks noChangeAspect="1"/>
            </wp:cNvGraphicFramePr>
            <a:graphic>
              <a:graphicData uri="http://schemas.openxmlformats.org/drawingml/2006/picture">
                <pic:pic>
                  <pic:nvPicPr>
                    <pic:cNvPr id="0" name="novel_fig11_patient_signature_heatmap.png"/>
                    <pic:cNvPicPr/>
                  </pic:nvPicPr>
                  <pic:blipFill>
                    <a:blip r:embed="rId15"/>
                    <a:stretch>
                      <a:fillRect/>
                    </a:stretch>
                  </pic:blipFill>
                  <pic:spPr>
                    <a:xfrm>
                      <a:off x="0" y="0"/>
                      <a:ext cx="5669280" cy="3565050"/>
                    </a:xfrm>
                    <a:prstGeom prst="rect"/>
                  </pic:spPr>
                </pic:pic>
              </a:graphicData>
            </a:graphic>
          </wp:inline>
        </w:drawing>
      </w:r>
    </w:p>
    <w:p>
      <w:pPr>
        <w:jc w:val="center"/>
      </w:pPr>
      <w:r>
        <w:rPr>
          <w:i/>
          <w:sz w:val="20"/>
        </w:rPr>
        <w:t>Figure 7. Patient-level signature heatmap for disease-associated counterfactual morphology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