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PLASMAXNET: A Counterfactual-Guided Multi-Branch Fusion Framework for Malignant Plasma Cell Recognition and Patient-Level Morphologic Signature Analysis</w:t>
      </w:r>
    </w:p>
    <w:p>
      <w:pPr>
        <w:pStyle w:val="Heading1"/>
      </w:pPr>
      <w:r>
        <w:t>Research Objectives</w:t>
      </w:r>
    </w:p>
    <w:p>
      <w:pPr/>
      <w:r>
        <w:t>This study presents PLASMAXNET as an explainable computational pathology framework for malignant plasma cell recognition on PCMMD. The objectives are to improve cell-level discrimination against stronger benchmark models, integrate counterfactual information directly into the decision pathway, prioritize clinically important plasma recall, and study whether cell-level counterfactual behavior aggregates into patient-level disease signatures.</w:t>
      </w:r>
    </w:p>
    <w:p>
      <w:pPr>
        <w:pStyle w:val="Heading1"/>
      </w:pPr>
      <w:r>
        <w:t>Proposed Methodology</w:t>
      </w:r>
    </w:p>
    <w:p>
      <w:pPr/>
      <w:r>
        <w:t>PLASMAXNET combines frozen ResNet50 and DenseNet121 image embeddings with a handcrafted morphology branch, a counterfactual feature branch, and a score branch. Morphologic descriptors include nucleus-to-cytoplasm ratio, nucleus area, cytoplasm area, staining intensity, granularity, roundness, and mean RGB channels. A morphology-based counterfactual boundary model first estimates the feature shifts required to move a sample toward the benign decision boundary. These counterfactual signals then modulate the image streams through sigmoid gates, refine the score stream, and participate in a learned softmax modality gate before weighted fusion and final classification. For deployment and benchmarking, the final model uses a validation-selected high-recall operating point so malignant sensitivity remains the primary clinical priority.</w:t>
      </w:r>
    </w:p>
    <w:p>
      <w:pPr>
        <w:pStyle w:val="Heading1"/>
      </w:pPr>
      <w:r>
        <w:t>Outcomes and Results</w:t>
      </w:r>
    </w:p>
    <w:p>
      <w:pPr/>
      <w:r>
        <w:t>At the selected high-recall operating point, PLASMAXNET achieved 92.86% accuracy, 92.87% weighted F1, 89.53% plasma precision, 95.45% plasma recall, and 97.76% AUC on the held-out test set. This threshold was set to 0.51 from the validation set. In the expanded benchmark, the strongest non-PLASMAXNET baseline by accuracy was ResNet50 at 91.92% accuracy, while the strongest non-PLASMAXNET baseline by recall was ResNet50 at 93.80% recall. PLASMAXNET therefore leads the current benchmark on both overall accuracy and malignant-cell recall. The bootstrap 95% interval at the selected operating point was 90.41-94.92 for accuracy and 92.34-97.85 for plasma recall.</w:t>
      </w:r>
    </w:p>
    <w:p>
      <w:pPr>
        <w:pStyle w:val="Heading1"/>
      </w:pPr>
      <w:r>
        <w:t>Patient-Level Robustness and Interpretation</w:t>
      </w:r>
    </w:p>
    <w:p>
      <w:pPr/>
      <w:r>
        <w:t>The patient-level score using mean novel probability produced an internal AUC of 1.000 on a cohort of only 10 patients (5 diseased, 5 normal). This should be treated as exploratory rather than definitive clinical proof. Exact permutation testing across all 252 possible class-label assignments gave a one-sided p-value of 0.0040 and a two-sided p-value of 0.0079. Leave-one-patient-out analysis yielded mean AUC 1.000, minimum 1.000, and maximum 1.000. The patient bootstrap interval saturated at 1.000-1.000, reflecting perfect within-cohort rank separation rather than external validation. The disease-associated signature remained centered on mean_r, mean_g, mean_b, but because the cohort contains only ten patients from a single internal source, the patient-level result should be reported as a promising internal finding that requires external multi-center confirmation.</w:t>
      </w:r>
    </w:p>
    <w:p>
      <w:pPr>
        <w:pStyle w:val="Heading1"/>
      </w:pPr>
      <w:r>
        <w:t>Impact Applications</w:t>
      </w:r>
    </w:p>
    <w:p>
      <w:pPr/>
      <w:r>
        <w:t>PLASMAXNET is suitable for computer-assisted plasma cell screening, triage support in digital hematopathology, and explainable decision-support research. Its counterfactual-guided design helps reveal which morphology changes would alter malignant probability, while its patient-level aggregation layer supports consistency analysis beyond isolated cell predictions. This makes the framework useful for model auditing, disease-signature discovery, and future clinician-in-the-loop validation studies.</w:t>
      </w:r>
    </w:p>
    <w:p>
      <w:pPr>
        <w:pStyle w:val="Heading1"/>
      </w:pPr>
      <w:r>
        <w:t>Diagrams</w:t>
      </w:r>
    </w:p>
    <w:p>
      <w:pPr/>
      <w:r>
        <w:t>The current PLASMAXNET package includes the following primary visual assets: plasmaxnet_fig13_framework_diagram.png, plasmaxnet_fig12_extended_model_comparison.png, plasmaxnet_fig15_precision_f1_comparison.png, novel_fig8_training_curves.png, plasmaxnet_fig14_confusion_roc.png, plasmaxnet_fig16_patient_robustness.png, novel_fig11_patient_signature_heatmap.png, PLASMAXNET_Architecture.drawio.</w:t>
      </w:r>
    </w:p>
    <w:p>
      <w:pPr>
        <w:pStyle w:val="Heading1"/>
      </w:pPr>
      <w:r>
        <w:t>Figures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058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smaxnet_fig13_framework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05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1. PLASMAXNET architecture overview showing the multi-branch fusion design and patient-level signature pathway.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7844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smaxnet_fig12_extended_model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84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2. Expanded model comparison showing that PLASMAXNET leads the benchmark on both accuracy and plasma recall at the selected operating point.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7060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smaxnet_fig15_precision_f1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06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3. Precision, weighted F1, and precision-recall landscape across PLASMAXNET and comparison models.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6555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el_fig8_training_curv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55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4. Training and validation curves for the selected PLASMAXNET fusion configuration.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978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smaxnet_fig14_confusion_ro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97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5. Confusion-delta and ROC comparison between PLASMAXNET and the previous hybrid baseline.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7867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smaxnet_fig16_patient_robustne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86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6. Patient-level robustness analysis including exact permutation testing, leave-one-patient-out AUC, and internal score separation on the 10-patient cohort.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650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el_fig11_patient_signature_heat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65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7. Patient-level signature heatmap summarizing disease-associated counterfactual morphology patterns across the cohort.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