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5F3F6" w14:textId="77777777" w:rsidR="003D2C41" w:rsidRPr="003D2C41" w:rsidRDefault="003D2C41" w:rsidP="003D2C41">
      <w:pPr>
        <w:rPr>
          <w:sz w:val="24"/>
          <w:szCs w:val="24"/>
        </w:rPr>
      </w:pPr>
      <w:r w:rsidRPr="003D2C41">
        <w:rPr>
          <w:sz w:val="24"/>
          <w:szCs w:val="24"/>
        </w:rPr>
        <w:t xml:space="preserve">The procedure adumbrated in this implementation effects a transcoding between two ostensibly disparate parameterizations of a sampled light field: the integral, or </w:t>
      </w:r>
      <w:proofErr w:type="spellStart"/>
      <w:r w:rsidRPr="003D2C41">
        <w:rPr>
          <w:sz w:val="24"/>
          <w:szCs w:val="24"/>
        </w:rPr>
        <w:t>hogel</w:t>
      </w:r>
      <w:proofErr w:type="spellEnd"/>
      <w:r w:rsidRPr="003D2C41">
        <w:rPr>
          <w:sz w:val="24"/>
          <w:szCs w:val="24"/>
        </w:rPr>
        <w:t xml:space="preserve">-major, lattice bequeathed by Lippmann's century-old integral photography (Lippmann, 1908), and the so-called quilt, a view-major tessellation of discrete perspectives. That such a transcoding is tractable at all follows from the foundational recognition that the </w:t>
      </w:r>
      <w:proofErr w:type="spellStart"/>
      <w:r w:rsidRPr="003D2C41">
        <w:rPr>
          <w:sz w:val="24"/>
          <w:szCs w:val="24"/>
        </w:rPr>
        <w:t>plenoptic</w:t>
      </w:r>
      <w:proofErr w:type="spellEnd"/>
      <w:r w:rsidRPr="003D2C41">
        <w:rPr>
          <w:sz w:val="24"/>
          <w:szCs w:val="24"/>
        </w:rPr>
        <w:t xml:space="preserve"> function, restricted to a region innocent of </w:t>
      </w:r>
      <w:proofErr w:type="spellStart"/>
      <w:r w:rsidRPr="003D2C41">
        <w:rPr>
          <w:sz w:val="24"/>
          <w:szCs w:val="24"/>
        </w:rPr>
        <w:t>occluders</w:t>
      </w:r>
      <w:proofErr w:type="spellEnd"/>
      <w:r w:rsidRPr="003D2C41">
        <w:rPr>
          <w:sz w:val="24"/>
          <w:szCs w:val="24"/>
        </w:rPr>
        <w:t xml:space="preserve">, is fully specified by its four-dimensional two-plane parameterization (Levoy &amp; Hanrahan, 1996; Gortler et al., 1996; see also the relative formulation of Dansereau et al., 2013); the integral and quilt layouts are therefore not distinct data but transposed </w:t>
      </w:r>
      <w:proofErr w:type="spellStart"/>
      <w:r w:rsidRPr="003D2C41">
        <w:rPr>
          <w:sz w:val="24"/>
          <w:szCs w:val="24"/>
        </w:rPr>
        <w:t>indexings</w:t>
      </w:r>
      <w:proofErr w:type="spellEnd"/>
      <w:r w:rsidRPr="003D2C41">
        <w:rPr>
          <w:sz w:val="24"/>
          <w:szCs w:val="24"/>
        </w:rPr>
        <w:t xml:space="preserve"> of a common tensor, and their interconversion reduces, in the limiting case, to a mere permutation of axes.</w:t>
      </w:r>
    </w:p>
    <w:p w14:paraId="30DCCB1B" w14:textId="77777777" w:rsidR="003D2C41" w:rsidRPr="003D2C41" w:rsidRDefault="003D2C41" w:rsidP="003D2C41">
      <w:pPr>
        <w:rPr>
          <w:sz w:val="24"/>
          <w:szCs w:val="24"/>
        </w:rPr>
      </w:pPr>
      <w:r w:rsidRPr="003D2C41">
        <w:rPr>
          <w:sz w:val="24"/>
          <w:szCs w:val="24"/>
        </w:rPr>
        <w:t xml:space="preserve">What elevates the routine above bare transposition is its tacit synthesis of perspective. For each nominated view the algorithm declines to extract a fixed angular coordinate — which would yield an orthographic slice, the degenerate case obtained as the virtual camera recedes to infinity (cf. the sub-aperture imagery surveyed by Wu et al., 2017) — and instead selects, at each spatial element, a directional sample whose index varies affinely with </w:t>
      </w:r>
      <w:proofErr w:type="spellStart"/>
      <w:r w:rsidRPr="003D2C41">
        <w:rPr>
          <w:sz w:val="24"/>
          <w:szCs w:val="24"/>
        </w:rPr>
        <w:t>hogel</w:t>
      </w:r>
      <w:proofErr w:type="spellEnd"/>
      <w:r w:rsidRPr="003D2C41">
        <w:rPr>
          <w:sz w:val="24"/>
          <w:szCs w:val="24"/>
        </w:rPr>
        <w:t xml:space="preserve"> position. This affine dependence is no ad hoc contrivance but precisely the </w:t>
      </w:r>
      <w:proofErr w:type="spellStart"/>
      <w:r w:rsidRPr="003D2C41">
        <w:rPr>
          <w:sz w:val="24"/>
          <w:szCs w:val="24"/>
        </w:rPr>
        <w:t>backprojection</w:t>
      </w:r>
      <w:proofErr w:type="spellEnd"/>
      <w:r w:rsidRPr="003D2C41">
        <w:rPr>
          <w:sz w:val="24"/>
          <w:szCs w:val="24"/>
        </w:rPr>
        <w:t xml:space="preserve"> of a pinhole situated at finite remove, its governing expression being, mutatis mutandis, the canonical perspective projection of computer graphics, wherein a lateral coordinate is normalized by the tangent of the half-angle of view and thereafter consigned to a discrete raster index by the viewport transform (Shirley &amp; Marschner, 2009). The displacement of this virtual centre of projection — here laid bare as a free parameter, the camera's axial distance — instantiates the maneuver formalized as the dynamic reparameterization of light fields (Isaksen et al., 2000), and is the dual, under interchange of the spatial and angular axes, of the shear that subtends digital refocusing (Ng, 2005).</w:t>
      </w:r>
    </w:p>
    <w:p w14:paraId="2168A121" w14:textId="77777777" w:rsidR="003D2C41" w:rsidRPr="003D2C41" w:rsidRDefault="003D2C41" w:rsidP="003D2C41">
      <w:pPr>
        <w:rPr>
          <w:sz w:val="24"/>
          <w:szCs w:val="24"/>
        </w:rPr>
      </w:pPr>
      <w:r w:rsidRPr="003D2C41">
        <w:rPr>
          <w:sz w:val="24"/>
          <w:szCs w:val="24"/>
        </w:rPr>
        <w:t xml:space="preserve">The horizontal-parallax-only stricture — vertical directionality is forsworn, the ordinate transcribed verbatim — situates the work within the lineage of the holographic stereogram, whose </w:t>
      </w:r>
      <w:proofErr w:type="spellStart"/>
      <w:r w:rsidRPr="003D2C41">
        <w:rPr>
          <w:sz w:val="24"/>
          <w:szCs w:val="24"/>
        </w:rPr>
        <w:t>hogels</w:t>
      </w:r>
      <w:proofErr w:type="spellEnd"/>
      <w:r w:rsidRPr="003D2C41">
        <w:rPr>
          <w:sz w:val="24"/>
          <w:szCs w:val="24"/>
        </w:rPr>
        <w:t xml:space="preserve"> Halle anatomized as a discrete imaging system amenable to the selfsame recentering geometry (Halle, 1994). The attendant operations, unremarkable severally yet consequential in concert, comprise the consignment of the continuous index to its nearest integral neighbor — the zeroth-order interpolant whose parsimony and concomitant aliasing are amply rehearsed in the resampling literature (Parker et al., 1983) — and the clamping of excursions beyond the recorded angular support to the extremal sample, an edge replication that manifests as the smearing of the peripheral views. The columnar gather and ensuing tessellation are </w:t>
      </w:r>
      <w:proofErr w:type="gramStart"/>
      <w:r w:rsidRPr="003D2C41">
        <w:rPr>
          <w:sz w:val="24"/>
          <w:szCs w:val="24"/>
        </w:rPr>
        <w:t>effected</w:t>
      </w:r>
      <w:proofErr w:type="gramEnd"/>
      <w:r w:rsidRPr="003D2C41">
        <w:rPr>
          <w:sz w:val="24"/>
          <w:szCs w:val="24"/>
        </w:rPr>
        <w:t xml:space="preserve"> not iteratively but through vectorized advanced indexing (Harris et al., 2020). One observes, finally, that the central operation — the traversal of a regular array along a locus whose offset is linear in position — is in no way idiosyncratic to displays: it recurs as the crossed-slits projection of image-based rendering (Zomet et al., 2003), as the shear stage of the shear-warp factorization in volume rendering (</w:t>
      </w:r>
      <w:proofErr w:type="spellStart"/>
      <w:r w:rsidRPr="003D2C41">
        <w:rPr>
          <w:sz w:val="24"/>
          <w:szCs w:val="24"/>
        </w:rPr>
        <w:t>Lacroute</w:t>
      </w:r>
      <w:proofErr w:type="spellEnd"/>
      <w:r w:rsidRPr="003D2C41">
        <w:rPr>
          <w:sz w:val="24"/>
          <w:szCs w:val="24"/>
        </w:rPr>
        <w:t xml:space="preserve"> &amp; Levoy, 1994), and, transposed to an altogether alien discipline, as the slant-stack, or τ–p, transform of reflection seismology (Diebold &amp; Stoffa, 1981).</w:t>
      </w:r>
    </w:p>
    <w:p w14:paraId="45FA3A71" w14:textId="77777777" w:rsidR="003D2C41" w:rsidRPr="003D2C41" w:rsidRDefault="003D2C41" w:rsidP="003D2C41">
      <w:pPr>
        <w:rPr>
          <w:sz w:val="24"/>
          <w:szCs w:val="24"/>
        </w:rPr>
      </w:pPr>
      <w:r w:rsidRPr="003D2C41">
        <w:rPr>
          <w:sz w:val="24"/>
          <w:szCs w:val="24"/>
        </w:rPr>
        <w:lastRenderedPageBreak/>
        <w:pict w14:anchorId="76178AD5">
          <v:rect id="_x0000_i1031" style="width:0;height:1.5pt" o:hralign="center" o:hrstd="t" o:hr="t" fillcolor="#a0a0a0" stroked="f"/>
        </w:pict>
      </w:r>
    </w:p>
    <w:p w14:paraId="2BA0D785" w14:textId="77777777" w:rsidR="003D2C41" w:rsidRPr="003D2C41" w:rsidRDefault="003D2C41" w:rsidP="003D2C41">
      <w:pPr>
        <w:rPr>
          <w:sz w:val="24"/>
          <w:szCs w:val="24"/>
        </w:rPr>
      </w:pPr>
      <w:r w:rsidRPr="003D2C41">
        <w:rPr>
          <w:b/>
          <w:bCs/>
          <w:sz w:val="24"/>
          <w:szCs w:val="24"/>
        </w:rPr>
        <w:t>References</w:t>
      </w:r>
    </w:p>
    <w:p w14:paraId="5478D452" w14:textId="77777777" w:rsidR="003D2C41" w:rsidRPr="003D2C41" w:rsidRDefault="003D2C41" w:rsidP="003D2C41">
      <w:pPr>
        <w:numPr>
          <w:ilvl w:val="0"/>
          <w:numId w:val="1"/>
        </w:numPr>
        <w:rPr>
          <w:sz w:val="24"/>
          <w:szCs w:val="24"/>
        </w:rPr>
      </w:pPr>
      <w:r w:rsidRPr="003D2C41">
        <w:rPr>
          <w:sz w:val="24"/>
          <w:szCs w:val="24"/>
        </w:rPr>
        <w:t xml:space="preserve">Dansereau, D. G., Pizarro, O., &amp; Williams, S. B. (2013). Decoding, calibration and rectification for </w:t>
      </w:r>
      <w:proofErr w:type="spellStart"/>
      <w:r w:rsidRPr="003D2C41">
        <w:rPr>
          <w:sz w:val="24"/>
          <w:szCs w:val="24"/>
        </w:rPr>
        <w:t>lenselet</w:t>
      </w:r>
      <w:proofErr w:type="spellEnd"/>
      <w:r w:rsidRPr="003D2C41">
        <w:rPr>
          <w:sz w:val="24"/>
          <w:szCs w:val="24"/>
        </w:rPr>
        <w:t xml:space="preserve">-based </w:t>
      </w:r>
      <w:proofErr w:type="spellStart"/>
      <w:r w:rsidRPr="003D2C41">
        <w:rPr>
          <w:sz w:val="24"/>
          <w:szCs w:val="24"/>
        </w:rPr>
        <w:t>plenoptic</w:t>
      </w:r>
      <w:proofErr w:type="spellEnd"/>
      <w:r w:rsidRPr="003D2C41">
        <w:rPr>
          <w:sz w:val="24"/>
          <w:szCs w:val="24"/>
        </w:rPr>
        <w:t xml:space="preserve"> cameras. </w:t>
      </w:r>
      <w:r w:rsidRPr="003D2C41">
        <w:rPr>
          <w:i/>
          <w:iCs/>
          <w:sz w:val="24"/>
          <w:szCs w:val="24"/>
        </w:rPr>
        <w:t>CVPR</w:t>
      </w:r>
      <w:r w:rsidRPr="003D2C41">
        <w:rPr>
          <w:sz w:val="24"/>
          <w:szCs w:val="24"/>
        </w:rPr>
        <w:t>.</w:t>
      </w:r>
    </w:p>
    <w:p w14:paraId="3A7620CF" w14:textId="77777777" w:rsidR="003D2C41" w:rsidRPr="003D2C41" w:rsidRDefault="003D2C41" w:rsidP="003D2C41">
      <w:pPr>
        <w:numPr>
          <w:ilvl w:val="0"/>
          <w:numId w:val="1"/>
        </w:numPr>
        <w:rPr>
          <w:sz w:val="24"/>
          <w:szCs w:val="24"/>
        </w:rPr>
      </w:pPr>
      <w:r w:rsidRPr="003D2C41">
        <w:rPr>
          <w:sz w:val="24"/>
          <w:szCs w:val="24"/>
        </w:rPr>
        <w:t xml:space="preserve">Diebold, J. B., &amp; Stoffa, P. L. (1981). The </w:t>
      </w:r>
      <w:proofErr w:type="spellStart"/>
      <w:r w:rsidRPr="003D2C41">
        <w:rPr>
          <w:sz w:val="24"/>
          <w:szCs w:val="24"/>
        </w:rPr>
        <w:t>traveltime</w:t>
      </w:r>
      <w:proofErr w:type="spellEnd"/>
      <w:r w:rsidRPr="003D2C41">
        <w:rPr>
          <w:sz w:val="24"/>
          <w:szCs w:val="24"/>
        </w:rPr>
        <w:t xml:space="preserve"> equation, τ–p mapping, and inversion of common midpoint data. </w:t>
      </w:r>
      <w:r w:rsidRPr="003D2C41">
        <w:rPr>
          <w:i/>
          <w:iCs/>
          <w:sz w:val="24"/>
          <w:szCs w:val="24"/>
        </w:rPr>
        <w:t>Geophysics</w:t>
      </w:r>
      <w:r w:rsidRPr="003D2C41">
        <w:rPr>
          <w:sz w:val="24"/>
          <w:szCs w:val="24"/>
        </w:rPr>
        <w:t>, 46(3).</w:t>
      </w:r>
    </w:p>
    <w:p w14:paraId="60D588ED" w14:textId="77777777" w:rsidR="003D2C41" w:rsidRPr="003D2C41" w:rsidRDefault="003D2C41" w:rsidP="003D2C41">
      <w:pPr>
        <w:numPr>
          <w:ilvl w:val="0"/>
          <w:numId w:val="1"/>
        </w:numPr>
        <w:rPr>
          <w:sz w:val="24"/>
          <w:szCs w:val="24"/>
        </w:rPr>
      </w:pPr>
      <w:r w:rsidRPr="003D2C41">
        <w:rPr>
          <w:sz w:val="24"/>
          <w:szCs w:val="24"/>
        </w:rPr>
        <w:t xml:space="preserve">Gortler, S. J., </w:t>
      </w:r>
      <w:proofErr w:type="spellStart"/>
      <w:r w:rsidRPr="003D2C41">
        <w:rPr>
          <w:sz w:val="24"/>
          <w:szCs w:val="24"/>
        </w:rPr>
        <w:t>Grzeszczuk</w:t>
      </w:r>
      <w:proofErr w:type="spellEnd"/>
      <w:r w:rsidRPr="003D2C41">
        <w:rPr>
          <w:sz w:val="24"/>
          <w:szCs w:val="24"/>
        </w:rPr>
        <w:t xml:space="preserve">, R., Szeliski, R., &amp; Cohen, M. F. (1996). The </w:t>
      </w:r>
      <w:proofErr w:type="spellStart"/>
      <w:r w:rsidRPr="003D2C41">
        <w:rPr>
          <w:sz w:val="24"/>
          <w:szCs w:val="24"/>
        </w:rPr>
        <w:t>Lumigraph</w:t>
      </w:r>
      <w:proofErr w:type="spellEnd"/>
      <w:r w:rsidRPr="003D2C41">
        <w:rPr>
          <w:sz w:val="24"/>
          <w:szCs w:val="24"/>
        </w:rPr>
        <w:t xml:space="preserve">. </w:t>
      </w:r>
      <w:r w:rsidRPr="003D2C41">
        <w:rPr>
          <w:i/>
          <w:iCs/>
          <w:sz w:val="24"/>
          <w:szCs w:val="24"/>
        </w:rPr>
        <w:t>SIGGRAPH '96</w:t>
      </w:r>
      <w:r w:rsidRPr="003D2C41">
        <w:rPr>
          <w:sz w:val="24"/>
          <w:szCs w:val="24"/>
        </w:rPr>
        <w:t>.</w:t>
      </w:r>
    </w:p>
    <w:p w14:paraId="7AF2E33B" w14:textId="77777777" w:rsidR="003D2C41" w:rsidRPr="003D2C41" w:rsidRDefault="003D2C41" w:rsidP="003D2C41">
      <w:pPr>
        <w:numPr>
          <w:ilvl w:val="0"/>
          <w:numId w:val="1"/>
        </w:numPr>
        <w:rPr>
          <w:sz w:val="24"/>
          <w:szCs w:val="24"/>
        </w:rPr>
      </w:pPr>
      <w:r w:rsidRPr="003D2C41">
        <w:rPr>
          <w:sz w:val="24"/>
          <w:szCs w:val="24"/>
        </w:rPr>
        <w:t xml:space="preserve">Halle, M. W. (1994). Holographic stereograms as discrete imaging systems. </w:t>
      </w:r>
      <w:r w:rsidRPr="003D2C41">
        <w:rPr>
          <w:i/>
          <w:iCs/>
          <w:sz w:val="24"/>
          <w:szCs w:val="24"/>
        </w:rPr>
        <w:t>SPIE Practical Holography VIII</w:t>
      </w:r>
      <w:r w:rsidRPr="003D2C41">
        <w:rPr>
          <w:sz w:val="24"/>
          <w:szCs w:val="24"/>
        </w:rPr>
        <w:t>.</w:t>
      </w:r>
    </w:p>
    <w:p w14:paraId="5304474B" w14:textId="77777777" w:rsidR="003D2C41" w:rsidRPr="003D2C41" w:rsidRDefault="003D2C41" w:rsidP="003D2C41">
      <w:pPr>
        <w:numPr>
          <w:ilvl w:val="0"/>
          <w:numId w:val="1"/>
        </w:numPr>
        <w:rPr>
          <w:sz w:val="24"/>
          <w:szCs w:val="24"/>
        </w:rPr>
      </w:pPr>
      <w:r w:rsidRPr="003D2C41">
        <w:rPr>
          <w:sz w:val="24"/>
          <w:szCs w:val="24"/>
        </w:rPr>
        <w:t xml:space="preserve">Harris, C. R., et al. (2020). Array programming with NumPy. </w:t>
      </w:r>
      <w:r w:rsidRPr="003D2C41">
        <w:rPr>
          <w:i/>
          <w:iCs/>
          <w:sz w:val="24"/>
          <w:szCs w:val="24"/>
        </w:rPr>
        <w:t>Nature</w:t>
      </w:r>
      <w:r w:rsidRPr="003D2C41">
        <w:rPr>
          <w:sz w:val="24"/>
          <w:szCs w:val="24"/>
        </w:rPr>
        <w:t>, 585.</w:t>
      </w:r>
    </w:p>
    <w:p w14:paraId="662FE1A2" w14:textId="77777777" w:rsidR="003D2C41" w:rsidRPr="003D2C41" w:rsidRDefault="003D2C41" w:rsidP="003D2C41">
      <w:pPr>
        <w:numPr>
          <w:ilvl w:val="0"/>
          <w:numId w:val="1"/>
        </w:numPr>
        <w:rPr>
          <w:sz w:val="24"/>
          <w:szCs w:val="24"/>
        </w:rPr>
      </w:pPr>
      <w:r w:rsidRPr="003D2C41">
        <w:rPr>
          <w:sz w:val="24"/>
          <w:szCs w:val="24"/>
        </w:rPr>
        <w:t xml:space="preserve">Isaksen, A., McMillan, L., &amp; Gortler, S. J. (2000). Dynamically </w:t>
      </w:r>
      <w:proofErr w:type="spellStart"/>
      <w:r w:rsidRPr="003D2C41">
        <w:rPr>
          <w:sz w:val="24"/>
          <w:szCs w:val="24"/>
        </w:rPr>
        <w:t>reparameterized</w:t>
      </w:r>
      <w:proofErr w:type="spellEnd"/>
      <w:r w:rsidRPr="003D2C41">
        <w:rPr>
          <w:sz w:val="24"/>
          <w:szCs w:val="24"/>
        </w:rPr>
        <w:t xml:space="preserve"> light fields. </w:t>
      </w:r>
      <w:r w:rsidRPr="003D2C41">
        <w:rPr>
          <w:i/>
          <w:iCs/>
          <w:sz w:val="24"/>
          <w:szCs w:val="24"/>
        </w:rPr>
        <w:t>SIGGRAPH 2000</w:t>
      </w:r>
      <w:r w:rsidRPr="003D2C41">
        <w:rPr>
          <w:sz w:val="24"/>
          <w:szCs w:val="24"/>
        </w:rPr>
        <w:t>.</w:t>
      </w:r>
    </w:p>
    <w:p w14:paraId="55EFF870" w14:textId="77777777" w:rsidR="003D2C41" w:rsidRPr="003D2C41" w:rsidRDefault="003D2C41" w:rsidP="003D2C41">
      <w:pPr>
        <w:numPr>
          <w:ilvl w:val="0"/>
          <w:numId w:val="1"/>
        </w:numPr>
        <w:rPr>
          <w:sz w:val="24"/>
          <w:szCs w:val="24"/>
        </w:rPr>
      </w:pPr>
      <w:r w:rsidRPr="003D2C41">
        <w:rPr>
          <w:sz w:val="24"/>
          <w:szCs w:val="24"/>
        </w:rPr>
        <w:t xml:space="preserve">Levoy, M., &amp; Hanrahan, P. (1996). Light field rendering. </w:t>
      </w:r>
      <w:r w:rsidRPr="003D2C41">
        <w:rPr>
          <w:i/>
          <w:iCs/>
          <w:sz w:val="24"/>
          <w:szCs w:val="24"/>
        </w:rPr>
        <w:t>SIGGRAPH '96</w:t>
      </w:r>
      <w:r w:rsidRPr="003D2C41">
        <w:rPr>
          <w:sz w:val="24"/>
          <w:szCs w:val="24"/>
        </w:rPr>
        <w:t>.</w:t>
      </w:r>
    </w:p>
    <w:p w14:paraId="721AD2CD" w14:textId="77777777" w:rsidR="003D2C41" w:rsidRPr="003D2C41" w:rsidRDefault="003D2C41" w:rsidP="003D2C41">
      <w:pPr>
        <w:numPr>
          <w:ilvl w:val="0"/>
          <w:numId w:val="1"/>
        </w:numPr>
        <w:rPr>
          <w:sz w:val="24"/>
          <w:szCs w:val="24"/>
        </w:rPr>
      </w:pPr>
      <w:proofErr w:type="spellStart"/>
      <w:r w:rsidRPr="003D2C41">
        <w:rPr>
          <w:sz w:val="24"/>
          <w:szCs w:val="24"/>
        </w:rPr>
        <w:t>Lacroute</w:t>
      </w:r>
      <w:proofErr w:type="spellEnd"/>
      <w:r w:rsidRPr="003D2C41">
        <w:rPr>
          <w:sz w:val="24"/>
          <w:szCs w:val="24"/>
        </w:rPr>
        <w:t xml:space="preserve">, P., &amp; Levoy, M. (1994). Fast volume rendering using a shear-warp factorization of the viewing transformation. </w:t>
      </w:r>
      <w:r w:rsidRPr="003D2C41">
        <w:rPr>
          <w:i/>
          <w:iCs/>
          <w:sz w:val="24"/>
          <w:szCs w:val="24"/>
        </w:rPr>
        <w:t>SIGGRAPH '94</w:t>
      </w:r>
      <w:r w:rsidRPr="003D2C41">
        <w:rPr>
          <w:sz w:val="24"/>
          <w:szCs w:val="24"/>
        </w:rPr>
        <w:t>.</w:t>
      </w:r>
    </w:p>
    <w:p w14:paraId="0A15F4D1" w14:textId="77777777" w:rsidR="003D2C41" w:rsidRPr="003D2C41" w:rsidRDefault="003D2C41" w:rsidP="003D2C41">
      <w:pPr>
        <w:numPr>
          <w:ilvl w:val="0"/>
          <w:numId w:val="1"/>
        </w:numPr>
        <w:rPr>
          <w:sz w:val="24"/>
          <w:szCs w:val="24"/>
        </w:rPr>
      </w:pPr>
      <w:r w:rsidRPr="003D2C41">
        <w:rPr>
          <w:sz w:val="24"/>
          <w:szCs w:val="24"/>
        </w:rPr>
        <w:t xml:space="preserve">Lippmann, G. (1908). </w:t>
      </w:r>
      <w:proofErr w:type="spellStart"/>
      <w:r w:rsidRPr="003D2C41">
        <w:rPr>
          <w:sz w:val="24"/>
          <w:szCs w:val="24"/>
        </w:rPr>
        <w:t>Épreuves</w:t>
      </w:r>
      <w:proofErr w:type="spellEnd"/>
      <w:r w:rsidRPr="003D2C41">
        <w:rPr>
          <w:sz w:val="24"/>
          <w:szCs w:val="24"/>
        </w:rPr>
        <w:t xml:space="preserve"> </w:t>
      </w:r>
      <w:proofErr w:type="spellStart"/>
      <w:r w:rsidRPr="003D2C41">
        <w:rPr>
          <w:sz w:val="24"/>
          <w:szCs w:val="24"/>
        </w:rPr>
        <w:t>réversibles</w:t>
      </w:r>
      <w:proofErr w:type="spellEnd"/>
      <w:r w:rsidRPr="003D2C41">
        <w:rPr>
          <w:sz w:val="24"/>
          <w:szCs w:val="24"/>
        </w:rPr>
        <w:t xml:space="preserve"> </w:t>
      </w:r>
      <w:proofErr w:type="spellStart"/>
      <w:r w:rsidRPr="003D2C41">
        <w:rPr>
          <w:sz w:val="24"/>
          <w:szCs w:val="24"/>
        </w:rPr>
        <w:t>donnant</w:t>
      </w:r>
      <w:proofErr w:type="spellEnd"/>
      <w:r w:rsidRPr="003D2C41">
        <w:rPr>
          <w:sz w:val="24"/>
          <w:szCs w:val="24"/>
        </w:rPr>
        <w:t xml:space="preserve"> la sensation du relief. </w:t>
      </w:r>
      <w:r w:rsidRPr="003D2C41">
        <w:rPr>
          <w:i/>
          <w:iCs/>
          <w:sz w:val="24"/>
          <w:szCs w:val="24"/>
        </w:rPr>
        <w:t xml:space="preserve">Journal de Physique </w:t>
      </w:r>
      <w:proofErr w:type="spellStart"/>
      <w:r w:rsidRPr="003D2C41">
        <w:rPr>
          <w:i/>
          <w:iCs/>
          <w:sz w:val="24"/>
          <w:szCs w:val="24"/>
        </w:rPr>
        <w:t>Théorique</w:t>
      </w:r>
      <w:proofErr w:type="spellEnd"/>
      <w:r w:rsidRPr="003D2C41">
        <w:rPr>
          <w:i/>
          <w:iCs/>
          <w:sz w:val="24"/>
          <w:szCs w:val="24"/>
        </w:rPr>
        <w:t xml:space="preserve"> et </w:t>
      </w:r>
      <w:proofErr w:type="spellStart"/>
      <w:r w:rsidRPr="003D2C41">
        <w:rPr>
          <w:i/>
          <w:iCs/>
          <w:sz w:val="24"/>
          <w:szCs w:val="24"/>
        </w:rPr>
        <w:t>Appliquée</w:t>
      </w:r>
      <w:proofErr w:type="spellEnd"/>
      <w:r w:rsidRPr="003D2C41">
        <w:rPr>
          <w:sz w:val="24"/>
          <w:szCs w:val="24"/>
        </w:rPr>
        <w:t>, 7(1).</w:t>
      </w:r>
    </w:p>
    <w:p w14:paraId="075DB099" w14:textId="77777777" w:rsidR="003D2C41" w:rsidRPr="003D2C41" w:rsidRDefault="003D2C41" w:rsidP="003D2C41">
      <w:pPr>
        <w:numPr>
          <w:ilvl w:val="0"/>
          <w:numId w:val="1"/>
        </w:numPr>
        <w:rPr>
          <w:sz w:val="24"/>
          <w:szCs w:val="24"/>
        </w:rPr>
      </w:pPr>
      <w:r w:rsidRPr="003D2C41">
        <w:rPr>
          <w:sz w:val="24"/>
          <w:szCs w:val="24"/>
        </w:rPr>
        <w:t xml:space="preserve">Ng, R. (2005). Fourier slice photography. </w:t>
      </w:r>
      <w:r w:rsidRPr="003D2C41">
        <w:rPr>
          <w:i/>
          <w:iCs/>
          <w:sz w:val="24"/>
          <w:szCs w:val="24"/>
        </w:rPr>
        <w:t>ACM Transactions on Graphics</w:t>
      </w:r>
      <w:r w:rsidRPr="003D2C41">
        <w:rPr>
          <w:sz w:val="24"/>
          <w:szCs w:val="24"/>
        </w:rPr>
        <w:t>, 24(3).</w:t>
      </w:r>
    </w:p>
    <w:p w14:paraId="304C99AD" w14:textId="77777777" w:rsidR="003D2C41" w:rsidRPr="003D2C41" w:rsidRDefault="003D2C41" w:rsidP="003D2C41">
      <w:pPr>
        <w:numPr>
          <w:ilvl w:val="0"/>
          <w:numId w:val="1"/>
        </w:numPr>
        <w:rPr>
          <w:sz w:val="24"/>
          <w:szCs w:val="24"/>
        </w:rPr>
      </w:pPr>
      <w:r w:rsidRPr="003D2C41">
        <w:rPr>
          <w:sz w:val="24"/>
          <w:szCs w:val="24"/>
        </w:rPr>
        <w:t xml:space="preserve">Parker, J. A., Kenyon, R. V., &amp; Troxel, D. E. (1983). Comparison of interpolating methods for image resampling. </w:t>
      </w:r>
      <w:r w:rsidRPr="003D2C41">
        <w:rPr>
          <w:i/>
          <w:iCs/>
          <w:sz w:val="24"/>
          <w:szCs w:val="24"/>
        </w:rPr>
        <w:t>IEEE Transactions on Medical Imaging</w:t>
      </w:r>
      <w:r w:rsidRPr="003D2C41">
        <w:rPr>
          <w:sz w:val="24"/>
          <w:szCs w:val="24"/>
        </w:rPr>
        <w:t>, 2(1).</w:t>
      </w:r>
    </w:p>
    <w:p w14:paraId="05B04F41" w14:textId="77777777" w:rsidR="003D2C41" w:rsidRPr="003D2C41" w:rsidRDefault="003D2C41" w:rsidP="003D2C41">
      <w:pPr>
        <w:numPr>
          <w:ilvl w:val="0"/>
          <w:numId w:val="1"/>
        </w:numPr>
        <w:rPr>
          <w:sz w:val="24"/>
          <w:szCs w:val="24"/>
        </w:rPr>
      </w:pPr>
      <w:r w:rsidRPr="003D2C41">
        <w:rPr>
          <w:sz w:val="24"/>
          <w:szCs w:val="24"/>
        </w:rPr>
        <w:t xml:space="preserve">Shirley, P., &amp; Marschner, S. (2009). </w:t>
      </w:r>
      <w:r w:rsidRPr="003D2C41">
        <w:rPr>
          <w:i/>
          <w:iCs/>
          <w:sz w:val="24"/>
          <w:szCs w:val="24"/>
        </w:rPr>
        <w:t>Fundamentals of Computer Graphics</w:t>
      </w:r>
      <w:r w:rsidRPr="003D2C41">
        <w:rPr>
          <w:sz w:val="24"/>
          <w:szCs w:val="24"/>
        </w:rPr>
        <w:t xml:space="preserve"> (3rd ed.). A K Peters.</w:t>
      </w:r>
    </w:p>
    <w:p w14:paraId="57DD1614" w14:textId="77777777" w:rsidR="003D2C41" w:rsidRPr="003D2C41" w:rsidRDefault="003D2C41" w:rsidP="003D2C41">
      <w:pPr>
        <w:numPr>
          <w:ilvl w:val="0"/>
          <w:numId w:val="1"/>
        </w:numPr>
        <w:rPr>
          <w:sz w:val="24"/>
          <w:szCs w:val="24"/>
        </w:rPr>
      </w:pPr>
      <w:r w:rsidRPr="003D2C41">
        <w:rPr>
          <w:sz w:val="24"/>
          <w:szCs w:val="24"/>
        </w:rPr>
        <w:t xml:space="preserve">Wu, G., et al. (2017). Light field image processing: An overview. </w:t>
      </w:r>
      <w:r w:rsidRPr="003D2C41">
        <w:rPr>
          <w:i/>
          <w:iCs/>
          <w:sz w:val="24"/>
          <w:szCs w:val="24"/>
        </w:rPr>
        <w:t>IEEE Journal of Selected Topics in Signal Processing</w:t>
      </w:r>
      <w:r w:rsidRPr="003D2C41">
        <w:rPr>
          <w:sz w:val="24"/>
          <w:szCs w:val="24"/>
        </w:rPr>
        <w:t>, 11(7).</w:t>
      </w:r>
    </w:p>
    <w:p w14:paraId="57A4D036" w14:textId="77777777" w:rsidR="003D2C41" w:rsidRPr="003D2C41" w:rsidRDefault="003D2C41" w:rsidP="003D2C41">
      <w:pPr>
        <w:numPr>
          <w:ilvl w:val="0"/>
          <w:numId w:val="1"/>
        </w:numPr>
        <w:rPr>
          <w:sz w:val="24"/>
          <w:szCs w:val="24"/>
        </w:rPr>
      </w:pPr>
      <w:r w:rsidRPr="003D2C41">
        <w:rPr>
          <w:sz w:val="24"/>
          <w:szCs w:val="24"/>
        </w:rPr>
        <w:t xml:space="preserve">Zomet, A., Feldman, D., Peleg, S., &amp; </w:t>
      </w:r>
      <w:proofErr w:type="spellStart"/>
      <w:r w:rsidRPr="003D2C41">
        <w:rPr>
          <w:sz w:val="24"/>
          <w:szCs w:val="24"/>
        </w:rPr>
        <w:t>Weinshall</w:t>
      </w:r>
      <w:proofErr w:type="spellEnd"/>
      <w:r w:rsidRPr="003D2C41">
        <w:rPr>
          <w:sz w:val="24"/>
          <w:szCs w:val="24"/>
        </w:rPr>
        <w:t xml:space="preserve">, D. (2003). </w:t>
      </w:r>
      <w:proofErr w:type="spellStart"/>
      <w:r w:rsidRPr="003D2C41">
        <w:rPr>
          <w:sz w:val="24"/>
          <w:szCs w:val="24"/>
        </w:rPr>
        <w:t>Mosaicing</w:t>
      </w:r>
      <w:proofErr w:type="spellEnd"/>
      <w:r w:rsidRPr="003D2C41">
        <w:rPr>
          <w:sz w:val="24"/>
          <w:szCs w:val="24"/>
        </w:rPr>
        <w:t xml:space="preserve"> new views: The crossed-slits projection. </w:t>
      </w:r>
      <w:r w:rsidRPr="003D2C41">
        <w:rPr>
          <w:i/>
          <w:iCs/>
          <w:sz w:val="24"/>
          <w:szCs w:val="24"/>
        </w:rPr>
        <w:t>IEEE TPAMI</w:t>
      </w:r>
      <w:r w:rsidRPr="003D2C41">
        <w:rPr>
          <w:sz w:val="24"/>
          <w:szCs w:val="24"/>
        </w:rPr>
        <w:t>, 25(6).</w:t>
      </w:r>
    </w:p>
    <w:p w14:paraId="0B7ABDD6" w14:textId="77777777" w:rsidR="00907BF3" w:rsidRPr="003D2C41" w:rsidRDefault="00907BF3">
      <w:pPr>
        <w:rPr>
          <w:sz w:val="24"/>
          <w:szCs w:val="24"/>
        </w:rPr>
      </w:pPr>
    </w:p>
    <w:sectPr w:rsidR="00907BF3" w:rsidRPr="003D2C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F4BDB"/>
    <w:multiLevelType w:val="multilevel"/>
    <w:tmpl w:val="8608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34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C41"/>
    <w:rsid w:val="003D2C41"/>
    <w:rsid w:val="00545E1A"/>
    <w:rsid w:val="00620869"/>
    <w:rsid w:val="006F79B2"/>
    <w:rsid w:val="00907BF3"/>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752C4"/>
  <w15:chartTrackingRefBased/>
  <w15:docId w15:val="{2A67E2B6-F0F8-4C2E-98F0-FAE246080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C41"/>
    <w:rPr>
      <w:rFonts w:eastAsiaTheme="majorEastAsia" w:cstheme="majorBidi"/>
      <w:color w:val="272727" w:themeColor="text1" w:themeTint="D8"/>
    </w:rPr>
  </w:style>
  <w:style w:type="paragraph" w:styleId="Title">
    <w:name w:val="Title"/>
    <w:basedOn w:val="Normal"/>
    <w:next w:val="Normal"/>
    <w:link w:val="TitleChar"/>
    <w:uiPriority w:val="10"/>
    <w:qFormat/>
    <w:rsid w:val="003D2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C41"/>
    <w:pPr>
      <w:spacing w:before="160"/>
      <w:jc w:val="center"/>
    </w:pPr>
    <w:rPr>
      <w:i/>
      <w:iCs/>
      <w:color w:val="404040" w:themeColor="text1" w:themeTint="BF"/>
    </w:rPr>
  </w:style>
  <w:style w:type="character" w:customStyle="1" w:styleId="QuoteChar">
    <w:name w:val="Quote Char"/>
    <w:basedOn w:val="DefaultParagraphFont"/>
    <w:link w:val="Quote"/>
    <w:uiPriority w:val="29"/>
    <w:rsid w:val="003D2C41"/>
    <w:rPr>
      <w:i/>
      <w:iCs/>
      <w:color w:val="404040" w:themeColor="text1" w:themeTint="BF"/>
    </w:rPr>
  </w:style>
  <w:style w:type="paragraph" w:styleId="ListParagraph">
    <w:name w:val="List Paragraph"/>
    <w:basedOn w:val="Normal"/>
    <w:uiPriority w:val="34"/>
    <w:qFormat/>
    <w:rsid w:val="003D2C41"/>
    <w:pPr>
      <w:ind w:left="720"/>
      <w:contextualSpacing/>
    </w:pPr>
  </w:style>
  <w:style w:type="character" w:styleId="IntenseEmphasis">
    <w:name w:val="Intense Emphasis"/>
    <w:basedOn w:val="DefaultParagraphFont"/>
    <w:uiPriority w:val="21"/>
    <w:qFormat/>
    <w:rsid w:val="003D2C41"/>
    <w:rPr>
      <w:i/>
      <w:iCs/>
      <w:color w:val="0F4761" w:themeColor="accent1" w:themeShade="BF"/>
    </w:rPr>
  </w:style>
  <w:style w:type="paragraph" w:styleId="IntenseQuote">
    <w:name w:val="Intense Quote"/>
    <w:basedOn w:val="Normal"/>
    <w:next w:val="Normal"/>
    <w:link w:val="IntenseQuoteChar"/>
    <w:uiPriority w:val="30"/>
    <w:qFormat/>
    <w:rsid w:val="003D2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C41"/>
    <w:rPr>
      <w:i/>
      <w:iCs/>
      <w:color w:val="0F4761" w:themeColor="accent1" w:themeShade="BF"/>
    </w:rPr>
  </w:style>
  <w:style w:type="character" w:styleId="IntenseReference">
    <w:name w:val="Intense Reference"/>
    <w:basedOn w:val="DefaultParagraphFont"/>
    <w:uiPriority w:val="32"/>
    <w:qFormat/>
    <w:rsid w:val="003D2C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765</Words>
  <Characters>4361</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Arnob Ghosh</dc:creator>
  <cp:keywords/>
  <dc:description/>
  <cp:lastModifiedBy>Arnob Ghosh</cp:lastModifiedBy>
  <cp:revision>1</cp:revision>
  <dcterms:created xsi:type="dcterms:W3CDTF">2026-06-25T15:19:00Z</dcterms:created>
  <dcterms:modified xsi:type="dcterms:W3CDTF">2026-06-25T15:19:00Z</dcterms:modified>
</cp:coreProperties>
</file>