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WIZYFI BRIDGE — PRODUCT REQUIREMENTS DOCUMENT</w:t>
      </w:r>
    </w:p>
    <w:p>
      <w:pPr>
        <w:jc w:val="center"/>
      </w:pPr>
      <w:r>
        <w:rPr>
          <w:i/>
          <w:color w:val="475569"/>
          <w:sz w:val="22"/>
        </w:rPr>
        <w:t>Comprehensive product definition, requirements, roles, journeys, success measures and acceptance criteria</w:t>
      </w:r>
    </w:p>
    <w:p>
      <w:pPr>
        <w:jc w:val="center"/>
      </w:pPr>
      <w:r>
        <w:rPr>
          <w:color w:val="64748B"/>
          <w:sz w:val="16"/>
        </w:rPr>
        <w:t>Wizyfi Bridge • Comprehensive Round 1 Specification • September 2026</w:t>
      </w:r>
    </w:p>
    <w:p>
      <w:pPr>
        <w:pStyle w:val="Heading1"/>
      </w:pPr>
      <w:r>
        <w:t>1. Executive product definition</w:t>
      </w:r>
    </w:p>
    <w:p>
      <w:r>
        <w:t>Wizyfi Bridge centralizes the operational work required to run managed Wi-Fi and access networks across multiple places. A provider should be able to understand network health, inspect routers and connected devices, manage users and access products, monitor live sessions, understand sales and transactions, and execute explicit network-control actions without moving between unrelated systems.</w:t>
      </w:r>
    </w:p>
    <w:p>
      <w:pPr>
        <w:pStyle w:val="Heading1"/>
      </w:pPr>
      <w:r>
        <w:t>2. Product promise</w:t>
      </w:r>
    </w:p>
    <w:p>
      <w:r>
        <w:t>Primary promise: one operational platform for unified network management, scalable access and intelligent control. Brand direction: “Bridging Networks. Connecting People. Empowering Communities.”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Providers operating multiple locations lack a single operational view of routers, connections, users and access.</w:t>
      </w:r>
    </w:p>
    <w:p>
      <w:pPr>
        <w:pStyle w:val="ListBullet"/>
      </w:pPr>
      <w:r>
        <w:t>Network actions are often disconnected from the business context that explains why a network is being operated.</w:t>
      </w:r>
    </w:p>
    <w:p>
      <w:pPr>
        <w:pStyle w:val="ListBullet"/>
      </w:pPr>
      <w:r>
        <w:t>Access products, vouchers, sales and transactions become difficult to reconcile when operational and commercial data live in separate tools.</w:t>
      </w:r>
    </w:p>
    <w:p>
      <w:pPr>
        <w:pStyle w:val="ListBullet"/>
      </w:pPr>
      <w:r>
        <w:t>End users need a simple captive experience while operators need a high-information control console.</w:t>
      </w:r>
    </w:p>
    <w:p>
      <w:pPr>
        <w:pStyle w:val="ListBullet"/>
      </w:pPr>
      <w:r>
        <w:t>Scheduled network resets require explicit timing, scope, consequence awareness and auditability.</w:t>
      </w:r>
    </w:p>
    <w:p>
      <w:pPr>
        <w:pStyle w:val="Heading1"/>
      </w:pPr>
      <w:r>
        <w:t>4. Goals</w:t>
      </w:r>
    </w:p>
    <w:p>
      <w:pPr>
        <w:pStyle w:val="ListBullet"/>
      </w:pPr>
      <w:r>
        <w:t>Centralize multi-place and multi-router network visibility.</w:t>
      </w:r>
    </w:p>
    <w:p>
      <w:pPr>
        <w:pStyle w:val="ListBullet"/>
      </w:pPr>
      <w:r>
        <w:t>Make live connection and device state understandable and actionable.</w:t>
      </w:r>
    </w:p>
    <w:p>
      <w:pPr>
        <w:pStyle w:val="ListBullet"/>
      </w:pPr>
      <w:r>
        <w:t>Provide first-class access-plan, voucher, cycle, sales and transaction workflows.</w:t>
      </w:r>
    </w:p>
    <w:p>
      <w:pPr>
        <w:pStyle w:val="ListBullet"/>
      </w:pPr>
      <w:r>
        <w:t>Provide an independent Hard Logout system with deterministic lifecycle and audit trail.</w:t>
      </w:r>
    </w:p>
    <w:p>
      <w:pPr>
        <w:pStyle w:val="ListBullet"/>
      </w:pPr>
      <w:r>
        <w:t>Deliver a professional, accessible and responsive experience with equal light/dark theme quality.</w:t>
      </w:r>
    </w:p>
    <w:p>
      <w:pPr>
        <w:pStyle w:val="ListBullet"/>
      </w:pPr>
      <w:r>
        <w:t>Expose backend capabilities through a typed, maintainable API contract.</w:t>
      </w:r>
    </w:p>
    <w:p>
      <w:pPr>
        <w:pStyle w:val="Heading1"/>
      </w:pPr>
      <w:r>
        <w:t>5. Non-goals</w:t>
      </w:r>
    </w:p>
    <w:p>
      <w:pPr>
        <w:pStyle w:val="ListBullet"/>
      </w:pPr>
      <w:r>
        <w:t>Do not turn the provider console into a generic CRM.</w:t>
      </w:r>
    </w:p>
    <w:p>
      <w:pPr>
        <w:pStyle w:val="ListBullet"/>
      </w:pPr>
      <w:r>
        <w:t>Do not make Hard Logout a side effect of an access plan, voucher, network cycle, sale or transaction.</w:t>
      </w:r>
    </w:p>
    <w:p>
      <w:pPr>
        <w:pStyle w:val="ListBullet"/>
      </w:pPr>
      <w:r>
        <w:t>Do not rely on frontend-only authorization for sensitive actions.</w:t>
      </w:r>
    </w:p>
    <w:p>
      <w:pPr>
        <w:pStyle w:val="ListBullet"/>
      </w:pPr>
      <w:r>
        <w:t>Do not present simulated operational telemetry as real network state.</w:t>
      </w:r>
    </w:p>
    <w:p>
      <w:pPr>
        <w:pStyle w:val="ListBullet"/>
      </w:pPr>
      <w:r>
        <w:t>Do not make the captive portal a miniature provider dashboard.</w:t>
      </w:r>
    </w:p>
    <w:p>
      <w:pPr>
        <w:pStyle w:val="Heading1"/>
      </w:pPr>
      <w:r>
        <w:t>6. Experience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_experienc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1 — Four experiences over a shared platform foundation.</w:t>
      </w:r>
    </w:p>
    <w:p>
      <w:pPr>
        <w:pStyle w:val="Heading1"/>
      </w:pPr>
      <w:r>
        <w:t>7. Users and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Primary jobs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Critical needs</w:t>
            </w:r>
          </w:p>
        </w:tc>
      </w:tr>
      <w:tr>
        <w:tc>
          <w:tcPr>
            <w:tcW w:type="dxa" w:w="3408"/>
            <w:vAlign w:val="top"/>
          </w:tcPr>
          <w:p>
            <w:r>
              <w:t>Provider / Owner</w:t>
            </w:r>
          </w:p>
        </w:tc>
        <w:tc>
          <w:tcPr>
            <w:tcW w:type="dxa" w:w="3408"/>
            <w:vAlign w:val="top"/>
          </w:tcPr>
          <w:p>
            <w:r>
              <w:t>Operate multiple places; understand business and network performance</w:t>
            </w:r>
          </w:p>
        </w:tc>
        <w:tc>
          <w:tcPr>
            <w:tcW w:type="dxa" w:w="3408"/>
            <w:vAlign w:val="top"/>
          </w:tcPr>
          <w:p>
            <w:r>
              <w:t>Fast overview, permissions, audit, revenue and network control</w:t>
            </w:r>
          </w:p>
        </w:tc>
      </w:tr>
      <w:tr>
        <w:tc>
          <w:tcPr>
            <w:tcW w:type="dxa" w:w="3408"/>
            <w:vAlign w:val="top"/>
          </w:tcPr>
          <w:p>
            <w:r>
              <w:t>Agent / Operator</w:t>
            </w:r>
          </w:p>
        </w:tc>
        <w:tc>
          <w:tcPr>
            <w:tcW w:type="dxa" w:w="3408"/>
            <w:vAlign w:val="top"/>
          </w:tcPr>
          <w:p>
            <w:r>
              <w:t>Handle daily network operations and customers</w:t>
            </w:r>
          </w:p>
        </w:tc>
        <w:tc>
          <w:tcPr>
            <w:tcW w:type="dxa" w:w="3408"/>
            <w:vAlign w:val="top"/>
          </w:tcPr>
          <w:p>
            <w:r>
              <w:t>Live status, connections, vouchers, safe actions</w:t>
            </w:r>
          </w:p>
        </w:tc>
      </w:tr>
      <w:tr>
        <w:tc>
          <w:tcPr>
            <w:tcW w:type="dxa" w:w="3408"/>
            <w:vAlign w:val="top"/>
          </w:tcPr>
          <w:p>
            <w:r>
              <w:t>Network-focused Operator</w:t>
            </w:r>
          </w:p>
        </w:tc>
        <w:tc>
          <w:tcPr>
            <w:tcW w:type="dxa" w:w="3408"/>
            <w:vAlign w:val="top"/>
          </w:tcPr>
          <w:p>
            <w:r>
              <w:t>Diagnose routers/devices and execute control actions</w:t>
            </w:r>
          </w:p>
        </w:tc>
        <w:tc>
          <w:tcPr>
            <w:tcW w:type="dxa" w:w="3408"/>
            <w:vAlign w:val="top"/>
          </w:tcPr>
          <w:p>
            <w:r>
              <w:t>Health, heartbeat, scope, event history, explicit consequences</w:t>
            </w:r>
          </w:p>
        </w:tc>
      </w:tr>
      <w:tr>
        <w:tc>
          <w:tcPr>
            <w:tcW w:type="dxa" w:w="3408"/>
            <w:vAlign w:val="top"/>
          </w:tcPr>
          <w:p>
            <w:r>
              <w:t>End User</w:t>
            </w:r>
          </w:p>
        </w:tc>
        <w:tc>
          <w:tcPr>
            <w:tcW w:type="dxa" w:w="3408"/>
            <w:vAlign w:val="top"/>
          </w:tcPr>
          <w:p>
            <w:r>
              <w:t>Connect and maintain access</w:t>
            </w:r>
          </w:p>
        </w:tc>
        <w:tc>
          <w:tcPr>
            <w:tcW w:type="dxa" w:w="3408"/>
            <w:vAlign w:val="top"/>
          </w:tcPr>
          <w:p>
            <w:r>
              <w:t>Fast captive flow, clear plan/session state, recovery guidance</w:t>
            </w:r>
          </w:p>
        </w:tc>
      </w:tr>
      <w:tr>
        <w:tc>
          <w:tcPr>
            <w:tcW w:type="dxa" w:w="3408"/>
            <w:vAlign w:val="top"/>
          </w:tcPr>
          <w:p>
            <w:r>
              <w:t>Administrator</w:t>
            </w:r>
          </w:p>
        </w:tc>
        <w:tc>
          <w:tcPr>
            <w:tcW w:type="dxa" w:w="3408"/>
            <w:vAlign w:val="top"/>
          </w:tcPr>
          <w:p>
            <w:r>
              <w:t>Govern accounts, roles and platform configuration</w:t>
            </w:r>
          </w:p>
        </w:tc>
        <w:tc>
          <w:tcPr>
            <w:tcW w:type="dxa" w:w="3408"/>
            <w:vAlign w:val="top"/>
          </w:tcPr>
          <w:p>
            <w:r>
              <w:t>Strong authorization, audit, configuration and support tools</w:t>
            </w:r>
          </w:p>
        </w:tc>
      </w:tr>
    </w:tbl>
    <w:p>
      <w:pPr>
        <w:pStyle w:val="Heading1"/>
      </w:pPr>
      <w:r>
        <w:t>8. Core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Acceptance intent</w:t>
            </w:r>
          </w:p>
        </w:tc>
      </w:tr>
      <w:tr>
        <w:tc>
          <w:tcPr>
            <w:tcW w:type="dxa" w:w="3408"/>
            <w:vAlign w:val="top"/>
          </w:tcPr>
          <w:p>
            <w:r>
              <w:t>FR-001</w:t>
            </w:r>
          </w:p>
        </w:tc>
        <w:tc>
          <w:tcPr>
            <w:tcW w:type="dxa" w:w="3408"/>
            <w:vAlign w:val="top"/>
          </w:tcPr>
          <w:p>
            <w:r>
              <w:t>Multi-place management</w:t>
            </w:r>
          </w:p>
        </w:tc>
        <w:tc>
          <w:tcPr>
            <w:tcW w:type="dxa" w:w="3408"/>
            <w:vAlign w:val="top"/>
          </w:tcPr>
          <w:p>
            <w:r>
              <w:t>Provider can create, view, update and archive places according to permissions.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FR-002</w:t>
            </w:r>
          </w:p>
        </w:tc>
        <w:tc>
          <w:tcPr>
            <w:tcW w:type="dxa" w:w="3408"/>
            <w:vAlign w:val="top"/>
          </w:tcPr>
          <w:p>
            <w:r>
              <w:t>Router management</w:t>
            </w:r>
          </w:p>
        </w:tc>
        <w:tc>
          <w:tcPr>
            <w:tcW w:type="dxa" w:w="3408"/>
            <w:vAlign w:val="top"/>
          </w:tcPr>
          <w:p>
            <w:r>
              <w:t>Provider can associate routers with places and view health, heartbeat, status and connected counts.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FR-003</w:t>
            </w:r>
          </w:p>
        </w:tc>
        <w:tc>
          <w:tcPr>
            <w:tcW w:type="dxa" w:w="3408"/>
            <w:vAlign w:val="top"/>
          </w:tcPr>
          <w:p>
            <w:r>
              <w:t>Device visibility</w:t>
            </w:r>
          </w:p>
        </w:tc>
        <w:tc>
          <w:tcPr>
            <w:tcW w:type="dxa" w:w="3408"/>
            <w:vAlign w:val="top"/>
          </w:tcPr>
          <w:p>
            <w:r>
              <w:t>Provider can inspect device identity, associated user/session and relevant history.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FR-004</w:t>
            </w:r>
          </w:p>
        </w:tc>
        <w:tc>
          <w:tcPr>
            <w:tcW w:type="dxa" w:w="3408"/>
            <w:vAlign w:val="top"/>
          </w:tcPr>
          <w:p>
            <w:r>
              <w:t>Live connections</w:t>
            </w:r>
          </w:p>
        </w:tc>
        <w:tc>
          <w:tcPr>
            <w:tcW w:type="dxa" w:w="3408"/>
            <w:vAlign w:val="top"/>
          </w:tcPr>
          <w:p>
            <w:r>
              <w:t>Provider can search/filter active sessions and perform authorized disconnect actions.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FR-005</w:t>
            </w:r>
          </w:p>
        </w:tc>
        <w:tc>
          <w:tcPr>
            <w:tcW w:type="dxa" w:w="3408"/>
            <w:vAlign w:val="top"/>
          </w:tcPr>
          <w:p>
            <w:r>
              <w:t>User management</w:t>
            </w:r>
          </w:p>
        </w:tc>
        <w:tc>
          <w:tcPr>
            <w:tcW w:type="dxa" w:w="3408"/>
            <w:vAlign w:val="top"/>
          </w:tcPr>
          <w:p>
            <w:r>
              <w:t>Provider can inspect user identity, sessions, access history and permitted commercial associations.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FR-006</w:t>
            </w:r>
          </w:p>
        </w:tc>
        <w:tc>
          <w:tcPr>
            <w:tcW w:type="dxa" w:w="3408"/>
            <w:vAlign w:val="top"/>
          </w:tcPr>
          <w:p>
            <w:r>
              <w:t>Access plans</w:t>
            </w:r>
          </w:p>
        </w:tc>
        <w:tc>
          <w:tcPr>
            <w:tcW w:type="dxa" w:w="3408"/>
            <w:vAlign w:val="top"/>
          </w:tcPr>
          <w:p>
            <w:r>
              <w:t>Provider can define price, duration, limits, availability and lifecycle.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FR-007</w:t>
            </w:r>
          </w:p>
        </w:tc>
        <w:tc>
          <w:tcPr>
            <w:tcW w:type="dxa" w:w="3408"/>
            <w:vAlign w:val="top"/>
          </w:tcPr>
          <w:p>
            <w:r>
              <w:t>Vouchers</w:t>
            </w:r>
          </w:p>
        </w:tc>
        <w:tc>
          <w:tcPr>
            <w:tcW w:type="dxa" w:w="3408"/>
            <w:vAlign w:val="top"/>
          </w:tcPr>
          <w:p>
            <w:r>
              <w:t>Provider can issue/bulk-generate, inspect lifecycle and associate vouchers with plans.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FR-008</w:t>
            </w:r>
          </w:p>
        </w:tc>
        <w:tc>
          <w:tcPr>
            <w:tcW w:type="dxa" w:w="3408"/>
            <w:vAlign w:val="top"/>
          </w:tcPr>
          <w:p>
            <w:r>
              <w:t>Network cycles</w:t>
            </w:r>
          </w:p>
        </w:tc>
        <w:tc>
          <w:tcPr>
            <w:tcW w:type="dxa" w:w="3408"/>
            <w:vAlign w:val="top"/>
          </w:tcPr>
          <w:p>
            <w:r>
              <w:t>Provider can view, schedule and review cycles with explicit scope and effective time.</w:t>
            </w:r>
          </w:p>
        </w:tc>
      </w:tr>
      <w:tr>
        <w:tc>
          <w:tcPr>
            <w:tcW w:type="dxa" w:w="3408"/>
            <w:vAlign w:val="top"/>
          </w:tcPr>
          <w:p>
            <w:r>
              <w:t>FR-009</w:t>
            </w:r>
          </w:p>
        </w:tc>
        <w:tc>
          <w:tcPr>
            <w:tcW w:type="dxa" w:w="3408"/>
            <w:vAlign w:val="top"/>
          </w:tcPr>
          <w:p>
            <w:r>
              <w:t>Sales analytics</w:t>
            </w:r>
          </w:p>
        </w:tc>
        <w:tc>
          <w:tcPr>
            <w:tcW w:type="dxa" w:w="3408"/>
            <w:vAlign w:val="top"/>
          </w:tcPr>
          <w:p>
            <w:r>
              <w:t>Provider can analyze sales by time, place, plan and other supported dimensions.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FR-010</w:t>
            </w:r>
          </w:p>
        </w:tc>
        <w:tc>
          <w:tcPr>
            <w:tcW w:type="dxa" w:w="3408"/>
            <w:vAlign w:val="top"/>
          </w:tcPr>
          <w:p>
            <w:r>
              <w:t>Transactions</w:t>
            </w:r>
          </w:p>
        </w:tc>
        <w:tc>
          <w:tcPr>
            <w:tcW w:type="dxa" w:w="3408"/>
            <w:vAlign w:val="top"/>
          </w:tcPr>
          <w:p>
            <w:r>
              <w:t>Provider can inspect immutable transaction records, status and event relationships.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FR-011</w:t>
            </w:r>
          </w:p>
        </w:tc>
        <w:tc>
          <w:tcPr>
            <w:tcW w:type="dxa" w:w="3408"/>
            <w:vAlign w:val="top"/>
          </w:tcPr>
          <w:p>
            <w:r>
              <w:t>Hard Logout</w:t>
            </w:r>
          </w:p>
        </w:tc>
        <w:tc>
          <w:tcPr>
            <w:tcW w:type="dxa" w:w="3408"/>
            <w:vAlign w:val="top"/>
          </w:tcPr>
          <w:p>
            <w:r>
              <w:t>Authorized operator can schedule, observe, cancel where allowed and audit independent reset events.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FR-012</w:t>
            </w:r>
          </w:p>
        </w:tc>
        <w:tc>
          <w:tcPr>
            <w:tcW w:type="dxa" w:w="3408"/>
            <w:vAlign w:val="top"/>
          </w:tcPr>
          <w:p>
            <w:r>
              <w:t>Captive access</w:t>
            </w:r>
          </w:p>
        </w:tc>
        <w:tc>
          <w:tcPr>
            <w:tcW w:type="dxa" w:w="3408"/>
            <w:vAlign w:val="top"/>
          </w:tcPr>
          <w:p>
            <w:r>
              <w:t>End user can select access, redeem voucher or authenticate through a concise flow.</w:t>
            </w:r>
          </w:p>
        </w:tc>
      </w:tr>
      <w:tr>
        <w:tc>
          <w:tcPr>
            <w:tcW w:type="dxa" w:w="3408"/>
            <w:vAlign w:val="top"/>
          </w:tcPr>
          <w:p>
            <w:r>
              <w:t>FR-013</w:t>
            </w:r>
          </w:p>
        </w:tc>
        <w:tc>
          <w:tcPr>
            <w:tcW w:type="dxa" w:w="3408"/>
            <w:vAlign w:val="top"/>
          </w:tcPr>
          <w:p>
            <w:r>
              <w:t>Authentication</w:t>
            </w:r>
          </w:p>
        </w:tc>
        <w:tc>
          <w:tcPr>
            <w:tcW w:type="dxa" w:w="3408"/>
            <w:vAlign w:val="top"/>
          </w:tcPr>
          <w:p>
            <w:r>
              <w:t>Users can sign in, recover access and maintain secure sessions.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FR-014</w:t>
            </w:r>
          </w:p>
        </w:tc>
        <w:tc>
          <w:tcPr>
            <w:tcW w:type="dxa" w:w="3408"/>
            <w:vAlign w:val="top"/>
          </w:tcPr>
          <w:p>
            <w:r>
              <w:t>Notifications</w:t>
            </w:r>
          </w:p>
        </w:tc>
        <w:tc>
          <w:tcPr>
            <w:tcW w:type="dxa" w:w="3408"/>
            <w:vAlign w:val="top"/>
          </w:tcPr>
          <w:p>
            <w:r>
              <w:t>System communicates important success, warning, failure and operational conditions.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FR-015</w:t>
            </w:r>
          </w:p>
        </w:tc>
        <w:tc>
          <w:tcPr>
            <w:tcW w:type="dxa" w:w="3408"/>
            <w:vAlign w:val="top"/>
          </w:tcPr>
          <w:p>
            <w:r>
              <w:t>Auditability</w:t>
            </w:r>
          </w:p>
        </w:tc>
        <w:tc>
          <w:tcPr>
            <w:tcW w:type="dxa" w:w="3408"/>
            <w:vAlign w:val="top"/>
          </w:tcPr>
          <w:p>
            <w:r>
              <w:t>Material network-affecting and administrative actions produce attributable audit/event records.</w:t>
            </w:r>
          </w:p>
        </w:tc>
      </w:tr>
    </w:tbl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NFR-001</w:t>
            </w:r>
          </w:p>
        </w:tc>
        <w:tc>
          <w:tcPr>
            <w:tcW w:type="dxa" w:w="3408"/>
            <w:vAlign w:val="top"/>
          </w:tcPr>
          <w:p>
            <w:r>
              <w:t>Security</w:t>
            </w:r>
          </w:p>
        </w:tc>
        <w:tc>
          <w:tcPr>
            <w:tcW w:type="dxa" w:w="3408"/>
            <w:vAlign w:val="top"/>
          </w:tcPr>
          <w:p>
            <w:r>
              <w:t>Authorization enforced server-side; sensitive mutations require explicit permission checks.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NFR-002</w:t>
            </w:r>
          </w:p>
        </w:tc>
        <w:tc>
          <w:tcPr>
            <w:tcW w:type="dxa" w:w="3408"/>
            <w:vAlign w:val="top"/>
          </w:tcPr>
          <w:p>
            <w:r>
              <w:t>Reliability</w:t>
            </w:r>
          </w:p>
        </w:tc>
        <w:tc>
          <w:tcPr>
            <w:tcW w:type="dxa" w:w="3408"/>
            <w:vAlign w:val="top"/>
          </w:tcPr>
          <w:p>
            <w:r>
              <w:t>Operational state transitions are persisted and recoverable; scheduled events cannot depend on a browser remaining open.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NFR-003</w:t>
            </w:r>
          </w:p>
        </w:tc>
        <w:tc>
          <w:tcPr>
            <w:tcW w:type="dxa" w:w="3408"/>
            <w:vAlign w:val="top"/>
          </w:tcPr>
          <w:p>
            <w:r>
              <w:t>Performance</w:t>
            </w:r>
          </w:p>
        </w:tc>
        <w:tc>
          <w:tcPr>
            <w:tcW w:type="dxa" w:w="3408"/>
            <w:vAlign w:val="top"/>
          </w:tcPr>
          <w:p>
            <w:r>
              <w:t>Large operational lists use server-side pagination/filtering; UI avoids unbounded rendering.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NFR-004</w:t>
            </w:r>
          </w:p>
        </w:tc>
        <w:tc>
          <w:tcPr>
            <w:tcW w:type="dxa" w:w="3408"/>
            <w:vAlign w:val="top"/>
          </w:tcPr>
          <w:p>
            <w:r>
              <w:t>Observability</w:t>
            </w:r>
          </w:p>
        </w:tc>
        <w:tc>
          <w:tcPr>
            <w:tcW w:type="dxa" w:w="3408"/>
            <w:vAlign w:val="top"/>
          </w:tcPr>
          <w:p>
            <w:r>
              <w:t>Network and background operations expose timestamps, result state and useful diagnostic events.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NFR-005</w:t>
            </w:r>
          </w:p>
        </w:tc>
        <w:tc>
          <w:tcPr>
            <w:tcW w:type="dxa" w:w="3408"/>
            <w:vAlign w:val="top"/>
          </w:tcPr>
          <w:p>
            <w:r>
              <w:t>Accessibility</w:t>
            </w:r>
          </w:p>
        </w:tc>
        <w:tc>
          <w:tcPr>
            <w:tcW w:type="dxa" w:w="3408"/>
            <w:vAlign w:val="top"/>
          </w:tcPr>
          <w:p>
            <w:r>
              <w:t>Keyboard navigation, labels, focus states, contrast and non-color status communication are supported.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NFR-006</w:t>
            </w:r>
          </w:p>
        </w:tc>
        <w:tc>
          <w:tcPr>
            <w:tcW w:type="dxa" w:w="3408"/>
            <w:vAlign w:val="top"/>
          </w:tcPr>
          <w:p>
            <w:r>
              <w:t>Responsive behavior</w:t>
            </w:r>
          </w:p>
        </w:tc>
        <w:tc>
          <w:tcPr>
            <w:tcW w:type="dxa" w:w="3408"/>
            <w:vAlign w:val="top"/>
          </w:tcPr>
          <w:p>
            <w:r>
              <w:t>Provider workflows remain usable on desktop, tablet and mobile through intentional transformations.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NFR-007</w:t>
            </w:r>
          </w:p>
        </w:tc>
        <w:tc>
          <w:tcPr>
            <w:tcW w:type="dxa" w:w="3408"/>
            <w:vAlign w:val="top"/>
          </w:tcPr>
          <w:p>
            <w:r>
              <w:t>Maintainability</w:t>
            </w:r>
          </w:p>
        </w:tc>
        <w:tc>
          <w:tcPr>
            <w:tcW w:type="dxa" w:w="3408"/>
            <w:vAlign w:val="top"/>
          </w:tcPr>
          <w:p>
            <w:r>
              <w:t>Domain logic remains in services/backend layers rather than being scattered through presentation components.</w:t>
            </w:r>
          </w:p>
        </w:tc>
      </w:tr>
      <w:tr>
        <w:tc>
          <w:tcPr>
            <w:tcW w:type="dxa" w:w="3408"/>
            <w:vAlign w:val="top"/>
          </w:tcPr>
          <w:p>
            <w:r>
              <w:t>NFR-008</w:t>
            </w:r>
          </w:p>
        </w:tc>
        <w:tc>
          <w:tcPr>
            <w:tcW w:type="dxa" w:w="3408"/>
            <w:vAlign w:val="top"/>
          </w:tcPr>
          <w:p>
            <w:r>
              <w:t>Consistency</w:t>
            </w:r>
          </w:p>
        </w:tc>
        <w:tc>
          <w:tcPr>
            <w:tcW w:type="dxa" w:w="3408"/>
            <w:vAlign w:val="top"/>
          </w:tcPr>
          <w:p>
            <w:r>
              <w:t>Terminology, status enums, route naming and visual tokens remain consistent across surfaces.</w:t>
            </w:r>
          </w:p>
        </w:tc>
      </w:tr>
    </w:tbl>
    <w:p>
      <w:pPr>
        <w:pStyle w:val="Heading1"/>
      </w:pPr>
      <w:r>
        <w:t>10. Provider operational mental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ider_core_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2 — Provider operational mental model.</w:t>
      </w:r>
    </w:p>
    <w:p>
      <w:pPr>
        <w:pStyle w:val="Heading1"/>
      </w:pPr>
      <w:r>
        <w:t>11. Key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Journey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Happy path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Failure / recovery expectations</w:t>
            </w:r>
          </w:p>
        </w:tc>
      </w:tr>
      <w:tr>
        <w:tc>
          <w:tcPr>
            <w:tcW w:type="dxa" w:w="3408"/>
            <w:vAlign w:val="top"/>
          </w:tcPr>
          <w:p>
            <w:r>
              <w:t>Onboard provider</w:t>
            </w:r>
          </w:p>
        </w:tc>
        <w:tc>
          <w:tcPr>
            <w:tcW w:type="dxa" w:w="3408"/>
            <w:vAlign w:val="top"/>
          </w:tcPr>
          <w:p>
            <w:r>
              <w:t>Register → verify/recover → initial place → router → dashboard</w:t>
            </w:r>
          </w:p>
        </w:tc>
        <w:tc>
          <w:tcPr>
            <w:tcW w:type="dxa" w:w="3408"/>
            <w:vAlign w:val="top"/>
          </w:tcPr>
          <w:p>
            <w:r>
              <w:t>Validation errors mapped to fields; incomplete setup remains recoverable</w:t>
            </w:r>
          </w:p>
        </w:tc>
      </w:tr>
      <w:tr>
        <w:tc>
          <w:tcPr>
            <w:tcW w:type="dxa" w:w="3408"/>
            <w:vAlign w:val="top"/>
          </w:tcPr>
          <w:p>
            <w:r>
              <w:t>Monitor network</w:t>
            </w:r>
          </w:p>
        </w:tc>
        <w:tc>
          <w:tcPr>
            <w:tcW w:type="dxa" w:w="3408"/>
            <w:vAlign w:val="top"/>
          </w:tcPr>
          <w:p>
            <w:r>
              <w:t>Dashboard → place → router → health/events</w:t>
            </w:r>
          </w:p>
        </w:tc>
        <w:tc>
          <w:tcPr>
            <w:tcW w:type="dxa" w:w="3408"/>
            <w:vAlign w:val="top"/>
          </w:tcPr>
          <w:p>
            <w:r>
              <w:t>Degraded/offline state explains freshness and next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Handle connection</w:t>
            </w:r>
          </w:p>
        </w:tc>
        <w:tc>
          <w:tcPr>
            <w:tcW w:type="dxa" w:w="3408"/>
            <w:vAlign w:val="top"/>
          </w:tcPr>
          <w:p>
            <w:r>
              <w:t>Live Connections → inspect → disconnect → confirmation → result</w:t>
            </w:r>
          </w:p>
        </w:tc>
        <w:tc>
          <w:tcPr>
            <w:tcW w:type="dxa" w:w="3408"/>
            <w:vAlign w:val="top"/>
          </w:tcPr>
          <w:p>
            <w:r>
              <w:t>Exact session/scope/consequence shown; failed mutation remains visible</w:t>
            </w:r>
          </w:p>
        </w:tc>
      </w:tr>
      <w:tr>
        <w:tc>
          <w:tcPr>
            <w:tcW w:type="dxa" w:w="3408"/>
            <w:vAlign w:val="top"/>
          </w:tcPr>
          <w:p>
            <w:r>
              <w:t>Issue access</w:t>
            </w:r>
          </w:p>
        </w:tc>
        <w:tc>
          <w:tcPr>
            <w:tcW w:type="dxa" w:w="3408"/>
            <w:vAlign w:val="top"/>
          </w:tcPr>
          <w:p>
            <w:r>
              <w:t>Access Plans → choose plan → issue voucher → confirmation</w:t>
            </w:r>
          </w:p>
        </w:tc>
        <w:tc>
          <w:tcPr>
            <w:tcW w:type="dxa" w:w="3408"/>
            <w:vAlign w:val="top"/>
          </w:tcPr>
          <w:p>
            <w:r>
              <w:t>Duplicate/invalid constraints handled explicitly</w:t>
            </w:r>
          </w:p>
        </w:tc>
      </w:tr>
      <w:tr>
        <w:tc>
          <w:tcPr>
            <w:tcW w:type="dxa" w:w="3408"/>
            <w:vAlign w:val="top"/>
          </w:tcPr>
          <w:p>
            <w:r>
              <w:t>Analyze business</w:t>
            </w:r>
          </w:p>
        </w:tc>
        <w:tc>
          <w:tcPr>
            <w:tcW w:type="dxa" w:w="3408"/>
            <w:vAlign w:val="top"/>
          </w:tcPr>
          <w:p>
            <w:r>
              <w:t>Sales → filter period/place/plan → inspect trend</w:t>
            </w:r>
          </w:p>
        </w:tc>
        <w:tc>
          <w:tcPr>
            <w:tcW w:type="dxa" w:w="3408"/>
            <w:vAlign w:val="top"/>
          </w:tcPr>
          <w:p>
            <w:r>
              <w:t>Empty data explains timeframe; transactions remain separate</w:t>
            </w:r>
          </w:p>
        </w:tc>
      </w:tr>
      <w:tr>
        <w:tc>
          <w:tcPr>
            <w:tcW w:type="dxa" w:w="3408"/>
            <w:vAlign w:val="top"/>
          </w:tcPr>
          <w:p>
            <w:r>
              <w:t>Schedule reset</w:t>
            </w:r>
          </w:p>
        </w:tc>
        <w:tc>
          <w:tcPr>
            <w:tcW w:type="dxa" w:w="3408"/>
            <w:vAlign w:val="top"/>
          </w:tcPr>
          <w:p>
            <w:r>
              <w:t>Hard Logout → scope → time/timezone → impact → review → schedule</w:t>
            </w:r>
          </w:p>
        </w:tc>
        <w:tc>
          <w:tcPr>
            <w:tcW w:type="dxa" w:w="3408"/>
            <w:vAlign w:val="top"/>
          </w:tcPr>
          <w:p>
            <w:r>
              <w:t>No ambiguous scope/time; backend persists event</w:t>
            </w:r>
          </w:p>
        </w:tc>
      </w:tr>
      <w:tr>
        <w:tc>
          <w:tcPr>
            <w:tcW w:type="dxa" w:w="3408"/>
            <w:vAlign w:val="top"/>
          </w:tcPr>
          <w:p>
            <w:r>
              <w:t>End-user connect</w:t>
            </w:r>
          </w:p>
        </w:tc>
        <w:tc>
          <w:tcPr>
            <w:tcW w:type="dxa" w:w="3408"/>
            <w:vAlign w:val="top"/>
          </w:tcPr>
          <w:p>
            <w:r>
              <w:t>Portal → access/voucher → authentication → connecting → connected</w:t>
            </w:r>
          </w:p>
        </w:tc>
        <w:tc>
          <w:tcPr>
            <w:tcW w:type="dxa" w:w="3408"/>
            <w:vAlign w:val="top"/>
          </w:tcPr>
          <w:p>
            <w:r>
              <w:t>Duplicate submission prevented; error has recovery path</w:t>
            </w:r>
          </w:p>
        </w:tc>
      </w:tr>
    </w:tbl>
    <w:p>
      <w:pPr>
        <w:pStyle w:val="Heading1"/>
      </w:pPr>
      <w:r>
        <w:t>12. Product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408"/>
            <w:vAlign w:val="top"/>
          </w:tcPr>
          <w:p>
            <w:r>
              <w:t>Time to network overview</w:t>
            </w:r>
          </w:p>
        </w:tc>
        <w:tc>
          <w:tcPr>
            <w:tcW w:type="dxa" w:w="3408"/>
            <w:vAlign w:val="top"/>
          </w:tcPr>
          <w:p>
            <w:r>
              <w:t>Time from provider sign-in to trustworthy view of place/router/session state</w:t>
            </w:r>
          </w:p>
        </w:tc>
        <w:tc>
          <w:tcPr>
            <w:tcW w:type="dxa" w:w="3408"/>
            <w:vAlign w:val="top"/>
          </w:tcPr>
          <w:p>
            <w:r>
              <w:t>Measures operational clarity</w:t>
            </w:r>
          </w:p>
        </w:tc>
      </w:tr>
      <w:tr>
        <w:tc>
          <w:tcPr>
            <w:tcW w:type="dxa" w:w="3408"/>
            <w:vAlign w:val="top"/>
          </w:tcPr>
          <w:p>
            <w:r>
              <w:t>Connection action completion</w:t>
            </w:r>
          </w:p>
        </w:tc>
        <w:tc>
          <w:tcPr>
            <w:tcW w:type="dxa" w:w="3408"/>
            <w:vAlign w:val="top"/>
          </w:tcPr>
          <w:p>
            <w:r>
              <w:t>Successful completion rate of authorized connection workflows</w:t>
            </w:r>
          </w:p>
        </w:tc>
        <w:tc>
          <w:tcPr>
            <w:tcW w:type="dxa" w:w="3408"/>
            <w:vAlign w:val="top"/>
          </w:tcPr>
          <w:p>
            <w:r>
              <w:t>Measures daily usability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Voucher issuance success</w:t>
            </w:r>
          </w:p>
        </w:tc>
        <w:tc>
          <w:tcPr>
            <w:tcW w:type="dxa" w:w="3408"/>
            <w:vAlign w:val="top"/>
          </w:tcPr>
          <w:p>
            <w:r>
              <w:t>Valid voucher creation rate without support intervention</w:t>
            </w:r>
          </w:p>
        </w:tc>
        <w:tc>
          <w:tcPr>
            <w:tcW w:type="dxa" w:w="3408"/>
            <w:vAlign w:val="top"/>
          </w:tcPr>
          <w:p>
            <w:r>
              <w:t>Measures access workflow quality</w:t>
            </w:r>
          </w:p>
        </w:tc>
      </w:tr>
      <w:tr>
        <w:tc>
          <w:tcPr>
            <w:tcW w:type="dxa" w:w="3408"/>
            <w:vAlign w:val="top"/>
          </w:tcPr>
          <w:p>
            <w:r>
              <w:t>Hard Logout execution integrity</w:t>
            </w:r>
          </w:p>
        </w:tc>
        <w:tc>
          <w:tcPr>
            <w:tcW w:type="dxa" w:w="3408"/>
            <w:vAlign w:val="top"/>
          </w:tcPr>
          <w:p>
            <w:r>
              <w:t>Percentage of scheduled events reaching accurate terminal state with complete audit</w:t>
            </w:r>
          </w:p>
        </w:tc>
        <w:tc>
          <w:tcPr>
            <w:tcW w:type="dxa" w:w="3408"/>
            <w:vAlign w:val="top"/>
          </w:tcPr>
          <w:p>
            <w:r>
              <w:t>Measures control reliability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State freshness</w:t>
            </w:r>
          </w:p>
        </w:tc>
        <w:tc>
          <w:tcPr>
            <w:tcW w:type="dxa" w:w="3408"/>
            <w:vAlign w:val="top"/>
          </w:tcPr>
          <w:p>
            <w:r>
              <w:t>Age of latest trustworthy operational update</w:t>
            </w:r>
          </w:p>
        </w:tc>
        <w:tc>
          <w:tcPr>
            <w:tcW w:type="dxa" w:w="3408"/>
            <w:vAlign w:val="top"/>
          </w:tcPr>
          <w:p>
            <w:r>
              <w:t>Prevents stale data being mistaken for live state</w:t>
            </w:r>
          </w:p>
        </w:tc>
      </w:tr>
      <w:tr>
        <w:tc>
          <w:tcPr>
            <w:tcW w:type="dxa" w:w="3408"/>
            <w:vAlign w:val="top"/>
          </w:tcPr>
          <w:p>
            <w:r>
              <w:t>Task error recovery</w:t>
            </w:r>
          </w:p>
        </w:tc>
        <w:tc>
          <w:tcPr>
            <w:tcW w:type="dxa" w:w="3408"/>
            <w:vAlign w:val="top"/>
          </w:tcPr>
          <w:p>
            <w:r>
              <w:t>Percentage of errors with successful recovery without leaving workflow</w:t>
            </w:r>
          </w:p>
        </w:tc>
        <w:tc>
          <w:tcPr>
            <w:tcW w:type="dxa" w:w="3408"/>
            <w:vAlign w:val="top"/>
          </w:tcPr>
          <w:p>
            <w:r>
              <w:t>Measures resilience</w:t>
            </w:r>
          </w:p>
        </w:tc>
      </w:tr>
    </w:tbl>
    <w:p>
      <w:pPr>
        <w:pStyle w:val="Heading1"/>
      </w:pPr>
      <w:r>
        <w:t>13. Product acceptance criteria</w:t>
      </w:r>
    </w:p>
    <w:p>
      <w:pPr>
        <w:pStyle w:val="ListBullet"/>
      </w:pPr>
      <w:r>
        <w:t>Provider can navigate from a place to its routers, then to connected devices/users/sessions without losing context.</w:t>
      </w:r>
    </w:p>
    <w:p>
      <w:pPr>
        <w:pStyle w:val="ListBullet"/>
      </w:pPr>
      <w:r>
        <w:t>Operational status is always accompanied by a textual state and meaningful timestamp/freshness information where applicable.</w:t>
      </w:r>
    </w:p>
    <w:p>
      <w:pPr>
        <w:pStyle w:val="ListBullet"/>
      </w:pPr>
      <w:r>
        <w:t>Network-affecting actions identify exact target and consequence before confirmation.</w:t>
      </w:r>
    </w:p>
    <w:p>
      <w:pPr>
        <w:pStyle w:val="ListBullet"/>
      </w:pPr>
      <w:r>
        <w:t>Hard Logout can be scheduled independently and produces a persistent lifecycle event.</w:t>
      </w:r>
    </w:p>
    <w:p>
      <w:pPr>
        <w:pStyle w:val="ListBullet"/>
      </w:pPr>
      <w:r>
        <w:t>Access Plans, Vouchers, Network Cycles, Sales and Transactions cannot silently create a Hard Logout event.</w:t>
      </w:r>
    </w:p>
    <w:p>
      <w:pPr>
        <w:pStyle w:val="ListBullet"/>
      </w:pPr>
      <w:r>
        <w:t>Captive portal exposes only the information necessary for connection and session management.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