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WIZYFI BRIDGE — UI DESIGN SYSTEM &amp; COMPONENT SPECIFICATION</w:t>
      </w:r>
    </w:p>
    <w:p>
      <w:pPr>
        <w:jc w:val="center"/>
      </w:pPr>
      <w:r>
        <w:rPr>
          <w:i/>
          <w:color w:val="475569"/>
          <w:sz w:val="22"/>
        </w:rPr>
        <w:t>Round 2 • Tokens, themes, components, states, accessibility and Figma-ready rules</w:t>
      </w:r>
    </w:p>
    <w:p>
      <w:pPr>
        <w:pStyle w:val="Heading1"/>
      </w:pPr>
      <w:r>
        <w:t>1. Design principles</w:t>
      </w:r>
    </w:p>
    <w:p>
      <w:pPr>
        <w:pStyle w:val="ListBullet"/>
      </w:pPr>
      <w:r>
        <w:t>Professional network-operations SaaS; precise, calm and trustworthy.</w:t>
      </w:r>
    </w:p>
    <w:p>
      <w:pPr>
        <w:pStyle w:val="ListBullet"/>
      </w:pPr>
      <w:r>
        <w:t>Blue-led brand language; avoid purple-heavy/AI-gimmick visuals.</w:t>
      </w:r>
    </w:p>
    <w:p>
      <w:pPr>
        <w:pStyle w:val="ListBullet"/>
      </w:pPr>
      <w:r>
        <w:t>Borders-first surfaces with restrained elevation.</w:t>
      </w:r>
    </w:p>
    <w:p>
      <w:pPr>
        <w:pStyle w:val="ListBullet"/>
      </w:pPr>
      <w:r>
        <w:t>Operational density is intentional; hierarchy must remain legible.</w:t>
      </w:r>
    </w:p>
    <w:p>
      <w:pPr>
        <w:pStyle w:val="ListBullet"/>
      </w:pPr>
      <w:r>
        <w:t>Light and dark themes are equal products, not an afterthought.</w:t>
      </w:r>
    </w:p>
    <w:p>
      <w:pPr>
        <w:pStyle w:val="Heading1"/>
      </w:pPr>
      <w:r>
        <w:t>2. Semantic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Light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Dark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556"/>
            <w:vAlign w:val="top"/>
          </w:tcPr>
          <w:p>
            <w:r>
              <w:t>Canvas</w:t>
            </w:r>
          </w:p>
        </w:tc>
        <w:tc>
          <w:tcPr>
            <w:tcW w:type="dxa" w:w="2556"/>
            <w:vAlign w:val="top"/>
          </w:tcPr>
          <w:p>
            <w:r>
              <w:t>Neutral 50</w:t>
            </w:r>
          </w:p>
        </w:tc>
        <w:tc>
          <w:tcPr>
            <w:tcW w:type="dxa" w:w="2556"/>
            <w:vAlign w:val="top"/>
          </w:tcPr>
          <w:p>
            <w:r>
              <w:t>Neutral 950</w:t>
            </w:r>
          </w:p>
        </w:tc>
        <w:tc>
          <w:tcPr>
            <w:tcW w:type="dxa" w:w="2556"/>
            <w:vAlign w:val="top"/>
          </w:tcPr>
          <w:p>
            <w:r>
              <w:t>Page background</w:t>
            </w:r>
          </w:p>
        </w:tc>
      </w:tr>
      <w:tr>
        <w:tc>
          <w:tcPr>
            <w:tcW w:type="dxa" w:w="2556"/>
            <w:vAlign w:val="top"/>
          </w:tcPr>
          <w:p>
            <w:r>
              <w:t>Surface</w:t>
            </w:r>
          </w:p>
        </w:tc>
        <w:tc>
          <w:tcPr>
            <w:tcW w:type="dxa" w:w="2556"/>
            <w:vAlign w:val="top"/>
          </w:tcPr>
          <w:p>
            <w:r>
              <w:t>White</w:t>
            </w:r>
          </w:p>
        </w:tc>
        <w:tc>
          <w:tcPr>
            <w:tcW w:type="dxa" w:w="2556"/>
            <w:vAlign w:val="top"/>
          </w:tcPr>
          <w:p>
            <w:r>
              <w:t>Neutral 900</w:t>
            </w:r>
          </w:p>
        </w:tc>
        <w:tc>
          <w:tcPr>
            <w:tcW w:type="dxa" w:w="2556"/>
            <w:vAlign w:val="top"/>
          </w:tcPr>
          <w:p>
            <w:r>
              <w:t>Default cards/panels</w:t>
            </w:r>
          </w:p>
        </w:tc>
      </w:tr>
      <w:tr>
        <w:tc>
          <w:tcPr>
            <w:tcW w:type="dxa" w:w="2556"/>
            <w:vAlign w:val="top"/>
          </w:tcPr>
          <w:p>
            <w:r>
              <w:t>Elevated</w:t>
            </w:r>
          </w:p>
        </w:tc>
        <w:tc>
          <w:tcPr>
            <w:tcW w:type="dxa" w:w="2556"/>
            <w:vAlign w:val="top"/>
          </w:tcPr>
          <w:p>
            <w:r>
              <w:t>Neutral 50</w:t>
            </w:r>
          </w:p>
        </w:tc>
        <w:tc>
          <w:tcPr>
            <w:tcW w:type="dxa" w:w="2556"/>
            <w:vAlign w:val="top"/>
          </w:tcPr>
          <w:p>
            <w:r>
              <w:t>Neutral 850</w:t>
            </w:r>
          </w:p>
        </w:tc>
        <w:tc>
          <w:tcPr>
            <w:tcW w:type="dxa" w:w="2556"/>
            <w:vAlign w:val="top"/>
          </w:tcPr>
          <w:p>
            <w:r>
              <w:t>Menus/drawers/elevated surfaces</w:t>
            </w:r>
          </w:p>
        </w:tc>
      </w:tr>
      <w:tr>
        <w:tc>
          <w:tcPr>
            <w:tcW w:type="dxa" w:w="2556"/>
            <w:vAlign w:val="top"/>
          </w:tcPr>
          <w:p>
            <w:r>
              <w:t>Border</w:t>
            </w:r>
          </w:p>
        </w:tc>
        <w:tc>
          <w:tcPr>
            <w:tcW w:type="dxa" w:w="2556"/>
            <w:vAlign w:val="top"/>
          </w:tcPr>
          <w:p>
            <w:r>
              <w:t>Neutral 200</w:t>
            </w:r>
          </w:p>
        </w:tc>
        <w:tc>
          <w:tcPr>
            <w:tcW w:type="dxa" w:w="2556"/>
            <w:vAlign w:val="top"/>
          </w:tcPr>
          <w:p>
            <w:r>
              <w:t>Neutral 800</w:t>
            </w:r>
          </w:p>
        </w:tc>
        <w:tc>
          <w:tcPr>
            <w:tcW w:type="dxa" w:w="2556"/>
            <w:vAlign w:val="top"/>
          </w:tcPr>
          <w:p>
            <w:r>
              <w:t>Dividers and field boundaries</w:t>
            </w:r>
          </w:p>
        </w:tc>
      </w:tr>
      <w:tr>
        <w:tc>
          <w:tcPr>
            <w:tcW w:type="dxa" w:w="2556"/>
            <w:vAlign w:val="top"/>
          </w:tcPr>
          <w:p>
            <w:r>
              <w:t>Text</w:t>
            </w:r>
          </w:p>
        </w:tc>
        <w:tc>
          <w:tcPr>
            <w:tcW w:type="dxa" w:w="2556"/>
            <w:vAlign w:val="top"/>
          </w:tcPr>
          <w:p>
            <w:r>
              <w:t>Neutral 900</w:t>
            </w:r>
          </w:p>
        </w:tc>
        <w:tc>
          <w:tcPr>
            <w:tcW w:type="dxa" w:w="2556"/>
            <w:vAlign w:val="top"/>
          </w:tcPr>
          <w:p>
            <w:r>
              <w:t>Neutral 50</w:t>
            </w:r>
          </w:p>
        </w:tc>
        <w:tc>
          <w:tcPr>
            <w:tcW w:type="dxa" w:w="2556"/>
            <w:vAlign w:val="top"/>
          </w:tcPr>
          <w:p>
            <w:r>
              <w:t>Primary text</w:t>
            </w:r>
          </w:p>
        </w:tc>
      </w:tr>
      <w:tr>
        <w:tc>
          <w:tcPr>
            <w:tcW w:type="dxa" w:w="2556"/>
            <w:vAlign w:val="top"/>
          </w:tcPr>
          <w:p>
            <w:r>
              <w:t>Secondary</w:t>
            </w:r>
          </w:p>
        </w:tc>
        <w:tc>
          <w:tcPr>
            <w:tcW w:type="dxa" w:w="2556"/>
            <w:vAlign w:val="top"/>
          </w:tcPr>
          <w:p>
            <w:r>
              <w:t>Neutral 600</w:t>
            </w:r>
          </w:p>
        </w:tc>
        <w:tc>
          <w:tcPr>
            <w:tcW w:type="dxa" w:w="2556"/>
            <w:vAlign w:val="top"/>
          </w:tcPr>
          <w:p>
            <w:r>
              <w:t>Neutral 400</w:t>
            </w:r>
          </w:p>
        </w:tc>
        <w:tc>
          <w:tcPr>
            <w:tcW w:type="dxa" w:w="2556"/>
            <w:vAlign w:val="top"/>
          </w:tcPr>
          <w:p>
            <w:r>
              <w:t>Supporting text</w:t>
            </w:r>
          </w:p>
        </w:tc>
      </w:tr>
      <w:tr>
        <w:tc>
          <w:tcPr>
            <w:tcW w:type="dxa" w:w="2556"/>
            <w:vAlign w:val="top"/>
          </w:tcPr>
          <w:p>
            <w:r>
              <w:t>Primary</w:t>
            </w:r>
          </w:p>
        </w:tc>
        <w:tc>
          <w:tcPr>
            <w:tcW w:type="dxa" w:w="2556"/>
            <w:vAlign w:val="top"/>
          </w:tcPr>
          <w:p>
            <w:r>
              <w:t>Blue 600</w:t>
            </w:r>
          </w:p>
        </w:tc>
        <w:tc>
          <w:tcPr>
            <w:tcW w:type="dxa" w:w="2556"/>
            <w:vAlign w:val="top"/>
          </w:tcPr>
          <w:p>
            <w:r>
              <w:t>Blue 500</w:t>
            </w:r>
          </w:p>
        </w:tc>
        <w:tc>
          <w:tcPr>
            <w:tcW w:type="dxa" w:w="2556"/>
            <w:vAlign w:val="top"/>
          </w:tcPr>
          <w:p>
            <w:r>
              <w:t>Primary actions</w:t>
            </w:r>
          </w:p>
        </w:tc>
      </w:tr>
      <w:tr>
        <w:tc>
          <w:tcPr>
            <w:tcW w:type="dxa" w:w="2556"/>
            <w:vAlign w:val="top"/>
          </w:tcPr>
          <w:p>
            <w:r>
              <w:t>Primary hover</w:t>
            </w:r>
          </w:p>
        </w:tc>
        <w:tc>
          <w:tcPr>
            <w:tcW w:type="dxa" w:w="2556"/>
            <w:vAlign w:val="top"/>
          </w:tcPr>
          <w:p>
            <w:r>
              <w:t>Blue 700</w:t>
            </w:r>
          </w:p>
        </w:tc>
        <w:tc>
          <w:tcPr>
            <w:tcW w:type="dxa" w:w="2556"/>
            <w:vAlign w:val="top"/>
          </w:tcPr>
          <w:p>
            <w:r>
              <w:t>Blue 400</w:t>
            </w:r>
          </w:p>
        </w:tc>
        <w:tc>
          <w:tcPr>
            <w:tcW w:type="dxa" w:w="2556"/>
            <w:vAlign w:val="top"/>
          </w:tcPr>
          <w:p>
            <w:r>
              <w:t>Hover/active</w:t>
            </w:r>
          </w:p>
        </w:tc>
      </w:tr>
      <w:tr>
        <w:tc>
          <w:tcPr>
            <w:tcW w:type="dxa" w:w="2556"/>
            <w:vAlign w:val="top"/>
          </w:tcPr>
          <w:p>
            <w:r>
              <w:t>Success</w:t>
            </w:r>
          </w:p>
        </w:tc>
        <w:tc>
          <w:tcPr>
            <w:tcW w:type="dxa" w:w="2556"/>
            <w:vAlign w:val="top"/>
          </w:tcPr>
          <w:p>
            <w:r>
              <w:t>Green 600</w:t>
            </w:r>
          </w:p>
        </w:tc>
        <w:tc>
          <w:tcPr>
            <w:tcW w:type="dxa" w:w="2556"/>
            <w:vAlign w:val="top"/>
          </w:tcPr>
          <w:p>
            <w:r>
              <w:t>Green 500</w:t>
            </w:r>
          </w:p>
        </w:tc>
        <w:tc>
          <w:tcPr>
            <w:tcW w:type="dxa" w:w="2556"/>
            <w:vAlign w:val="top"/>
          </w:tcPr>
          <w:p>
            <w:r>
              <w:t>Positive state</w:t>
            </w:r>
          </w:p>
        </w:tc>
      </w:tr>
      <w:tr>
        <w:tc>
          <w:tcPr>
            <w:tcW w:type="dxa" w:w="2556"/>
            <w:vAlign w:val="top"/>
          </w:tcPr>
          <w:p>
            <w:r>
              <w:t>Warning</w:t>
            </w:r>
          </w:p>
        </w:tc>
        <w:tc>
          <w:tcPr>
            <w:tcW w:type="dxa" w:w="2556"/>
            <w:vAlign w:val="top"/>
          </w:tcPr>
          <w:p>
            <w:r>
              <w:t>Amber 600</w:t>
            </w:r>
          </w:p>
        </w:tc>
        <w:tc>
          <w:tcPr>
            <w:tcW w:type="dxa" w:w="2556"/>
            <w:vAlign w:val="top"/>
          </w:tcPr>
          <w:p>
            <w:r>
              <w:t>Amber 500</w:t>
            </w:r>
          </w:p>
        </w:tc>
        <w:tc>
          <w:tcPr>
            <w:tcW w:type="dxa" w:w="2556"/>
            <w:vAlign w:val="top"/>
          </w:tcPr>
          <w:p>
            <w:r>
              <w:t>Caution</w:t>
            </w:r>
          </w:p>
        </w:tc>
      </w:tr>
      <w:tr>
        <w:tc>
          <w:tcPr>
            <w:tcW w:type="dxa" w:w="2556"/>
            <w:vAlign w:val="top"/>
          </w:tcPr>
          <w:p>
            <w:r>
              <w:t>Danger</w:t>
            </w:r>
          </w:p>
        </w:tc>
        <w:tc>
          <w:tcPr>
            <w:tcW w:type="dxa" w:w="2556"/>
            <w:vAlign w:val="top"/>
          </w:tcPr>
          <w:p>
            <w:r>
              <w:t>Red 600</w:t>
            </w:r>
          </w:p>
        </w:tc>
        <w:tc>
          <w:tcPr>
            <w:tcW w:type="dxa" w:w="2556"/>
            <w:vAlign w:val="top"/>
          </w:tcPr>
          <w:p>
            <w:r>
              <w:t>Red 500</w:t>
            </w:r>
          </w:p>
        </w:tc>
        <w:tc>
          <w:tcPr>
            <w:tcW w:type="dxa" w:w="2556"/>
            <w:vAlign w:val="top"/>
          </w:tcPr>
          <w:p>
            <w:r>
              <w:t>Destructive/failure</w:t>
            </w:r>
          </w:p>
        </w:tc>
      </w:tr>
      <w:tr>
        <w:tc>
          <w:tcPr>
            <w:tcW w:type="dxa" w:w="2556"/>
            <w:vAlign w:val="top"/>
          </w:tcPr>
          <w:p>
            <w:r>
              <w:t>Info</w:t>
            </w:r>
          </w:p>
        </w:tc>
        <w:tc>
          <w:tcPr>
            <w:tcW w:type="dxa" w:w="2556"/>
            <w:vAlign w:val="top"/>
          </w:tcPr>
          <w:p>
            <w:r>
              <w:t>Blue 600</w:t>
            </w:r>
          </w:p>
        </w:tc>
        <w:tc>
          <w:tcPr>
            <w:tcW w:type="dxa" w:w="2556"/>
            <w:vAlign w:val="top"/>
          </w:tcPr>
          <w:p>
            <w:r>
              <w:t>Blue 400</w:t>
            </w:r>
          </w:p>
        </w:tc>
        <w:tc>
          <w:tcPr>
            <w:tcW w:type="dxa" w:w="2556"/>
            <w:vAlign w:val="top"/>
          </w:tcPr>
          <w:p>
            <w:r>
              <w:t>Informational</w:t>
            </w:r>
          </w:p>
        </w:tc>
      </w:tr>
    </w:tbl>
    <w:p>
      <w:pPr>
        <w:pStyle w:val="Heading1"/>
      </w:pPr>
      <w:r>
        <w:t>3.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556"/>
            <w:vAlign w:val="top"/>
          </w:tcPr>
          <w:p>
            <w:r>
              <w:t>Display</w:t>
            </w:r>
          </w:p>
        </w:tc>
        <w:tc>
          <w:tcPr>
            <w:tcW w:type="dxa" w:w="2556"/>
            <w:vAlign w:val="top"/>
          </w:tcPr>
          <w:p>
            <w:r>
              <w:t>32–40px</w:t>
            </w:r>
          </w:p>
        </w:tc>
        <w:tc>
          <w:tcPr>
            <w:tcW w:type="dxa" w:w="2556"/>
            <w:vAlign w:val="top"/>
          </w:tcPr>
          <w:p>
            <w:r>
              <w:t>700</w:t>
            </w:r>
          </w:p>
        </w:tc>
        <w:tc>
          <w:tcPr>
            <w:tcW w:type="dxa" w:w="2556"/>
            <w:vAlign w:val="top"/>
          </w:tcPr>
          <w:p>
            <w:r>
              <w:t>Marketing hero / major statements</w:t>
            </w:r>
          </w:p>
        </w:tc>
      </w:tr>
      <w:tr>
        <w:tc>
          <w:tcPr>
            <w:tcW w:type="dxa" w:w="2556"/>
            <w:vAlign w:val="top"/>
          </w:tcPr>
          <w:p>
            <w:r>
              <w:t>H1</w:t>
            </w:r>
          </w:p>
        </w:tc>
        <w:tc>
          <w:tcPr>
            <w:tcW w:type="dxa" w:w="2556"/>
            <w:vAlign w:val="top"/>
          </w:tcPr>
          <w:p>
            <w:r>
              <w:t>24–30px</w:t>
            </w:r>
          </w:p>
        </w:tc>
        <w:tc>
          <w:tcPr>
            <w:tcW w:type="dxa" w:w="2556"/>
            <w:vAlign w:val="top"/>
          </w:tcPr>
          <w:p>
            <w:r>
              <w:t>700</w:t>
            </w:r>
          </w:p>
        </w:tc>
        <w:tc>
          <w:tcPr>
            <w:tcW w:type="dxa" w:w="2556"/>
            <w:vAlign w:val="top"/>
          </w:tcPr>
          <w:p>
            <w:r>
              <w:t>Page titles</w:t>
            </w:r>
          </w:p>
        </w:tc>
      </w:tr>
      <w:tr>
        <w:tc>
          <w:tcPr>
            <w:tcW w:type="dxa" w:w="2556"/>
            <w:vAlign w:val="top"/>
          </w:tcPr>
          <w:p>
            <w:r>
              <w:t>H2</w:t>
            </w:r>
          </w:p>
        </w:tc>
        <w:tc>
          <w:tcPr>
            <w:tcW w:type="dxa" w:w="2556"/>
            <w:vAlign w:val="top"/>
          </w:tcPr>
          <w:p>
            <w:r>
              <w:t>18–22px</w:t>
            </w:r>
          </w:p>
        </w:tc>
        <w:tc>
          <w:tcPr>
            <w:tcW w:type="dxa" w:w="2556"/>
            <w:vAlign w:val="top"/>
          </w:tcPr>
          <w:p>
            <w:r>
              <w:t>650–700</w:t>
            </w:r>
          </w:p>
        </w:tc>
        <w:tc>
          <w:tcPr>
            <w:tcW w:type="dxa" w:w="2556"/>
            <w:vAlign w:val="top"/>
          </w:tcPr>
          <w:p>
            <w:r>
              <w:t>Sections</w:t>
            </w:r>
          </w:p>
        </w:tc>
      </w:tr>
      <w:tr>
        <w:tc>
          <w:tcPr>
            <w:tcW w:type="dxa" w:w="2556"/>
            <w:vAlign w:val="top"/>
          </w:tcPr>
          <w:p>
            <w:r>
              <w:t>H3</w:t>
            </w:r>
          </w:p>
        </w:tc>
        <w:tc>
          <w:tcPr>
            <w:tcW w:type="dxa" w:w="2556"/>
            <w:vAlign w:val="top"/>
          </w:tcPr>
          <w:p>
            <w:r>
              <w:t>14–16px</w:t>
            </w:r>
          </w:p>
        </w:tc>
        <w:tc>
          <w:tcPr>
            <w:tcW w:type="dxa" w:w="2556"/>
            <w:vAlign w:val="top"/>
          </w:tcPr>
          <w:p>
            <w:r>
              <w:t>650</w:t>
            </w:r>
          </w:p>
        </w:tc>
        <w:tc>
          <w:tcPr>
            <w:tcW w:type="dxa" w:w="2556"/>
            <w:vAlign w:val="top"/>
          </w:tcPr>
          <w:p>
            <w:r>
              <w:t>Card/field groups</w:t>
            </w:r>
          </w:p>
        </w:tc>
      </w:tr>
      <w:tr>
        <w:tc>
          <w:tcPr>
            <w:tcW w:type="dxa" w:w="2556"/>
            <w:vAlign w:val="top"/>
          </w:tcPr>
          <w:p>
            <w:r>
              <w:t>Body</w:t>
            </w:r>
          </w:p>
        </w:tc>
        <w:tc>
          <w:tcPr>
            <w:tcW w:type="dxa" w:w="2556"/>
            <w:vAlign w:val="top"/>
          </w:tcPr>
          <w:p>
            <w:r>
              <w:t>14px</w:t>
            </w:r>
          </w:p>
        </w:tc>
        <w:tc>
          <w:tcPr>
            <w:tcW w:type="dxa" w:w="2556"/>
            <w:vAlign w:val="top"/>
          </w:tcPr>
          <w:p>
            <w:r>
              <w:t>400</w:t>
            </w:r>
          </w:p>
        </w:tc>
        <w:tc>
          <w:tcPr>
            <w:tcW w:type="dxa" w:w="2556"/>
            <w:vAlign w:val="top"/>
          </w:tcPr>
          <w:p>
            <w:r>
              <w:t>Default UI</w:t>
            </w:r>
          </w:p>
        </w:tc>
      </w:tr>
      <w:tr>
        <w:tc>
          <w:tcPr>
            <w:tcW w:type="dxa" w:w="2556"/>
            <w:vAlign w:val="top"/>
          </w:tcPr>
          <w:p>
            <w:r>
              <w:t>Small</w:t>
            </w:r>
          </w:p>
        </w:tc>
        <w:tc>
          <w:tcPr>
            <w:tcW w:type="dxa" w:w="2556"/>
            <w:vAlign w:val="top"/>
          </w:tcPr>
          <w:p>
            <w:r>
              <w:t>12px</w:t>
            </w:r>
          </w:p>
        </w:tc>
        <w:tc>
          <w:tcPr>
            <w:tcW w:type="dxa" w:w="2556"/>
            <w:vAlign w:val="top"/>
          </w:tcPr>
          <w:p>
            <w:r>
              <w:t>400–500</w:t>
            </w:r>
          </w:p>
        </w:tc>
        <w:tc>
          <w:tcPr>
            <w:tcW w:type="dxa" w:w="2556"/>
            <w:vAlign w:val="top"/>
          </w:tcPr>
          <w:p>
            <w:r>
              <w:t>Metadata/helper text</w:t>
            </w:r>
          </w:p>
        </w:tc>
      </w:tr>
      <w:tr>
        <w:tc>
          <w:tcPr>
            <w:tcW w:type="dxa" w:w="2556"/>
            <w:vAlign w:val="top"/>
          </w:tcPr>
          <w:p>
            <w:r>
              <w:t>Data</w:t>
            </w:r>
          </w:p>
        </w:tc>
        <w:tc>
          <w:tcPr>
            <w:tcW w:type="dxa" w:w="2556"/>
            <w:vAlign w:val="top"/>
          </w:tcPr>
          <w:p>
            <w:r>
              <w:t>13px</w:t>
            </w:r>
          </w:p>
        </w:tc>
        <w:tc>
          <w:tcPr>
            <w:tcW w:type="dxa" w:w="2556"/>
            <w:vAlign w:val="top"/>
          </w:tcPr>
          <w:p>
            <w:r>
              <w:t>500</w:t>
            </w:r>
          </w:p>
        </w:tc>
        <w:tc>
          <w:tcPr>
            <w:tcW w:type="dxa" w:w="2556"/>
            <w:vAlign w:val="top"/>
          </w:tcPr>
          <w:p>
            <w:r>
              <w:t>Operational tables</w:t>
            </w:r>
          </w:p>
        </w:tc>
      </w:tr>
      <w:tr>
        <w:tc>
          <w:tcPr>
            <w:tcW w:type="dxa" w:w="2556"/>
            <w:vAlign w:val="top"/>
          </w:tcPr>
          <w:p>
            <w:r>
              <w:t>Button</w:t>
            </w:r>
          </w:p>
        </w:tc>
        <w:tc>
          <w:tcPr>
            <w:tcW w:type="dxa" w:w="2556"/>
            <w:vAlign w:val="top"/>
          </w:tcPr>
          <w:p>
            <w:r>
              <w:t>13–14px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Actions</w:t>
            </w:r>
          </w:p>
        </w:tc>
      </w:tr>
    </w:tbl>
    <w:p>
      <w:pPr>
        <w:pStyle w:val="Heading1"/>
      </w:pPr>
      <w:r>
        <w:t>4. Spacing and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Spacing</w:t>
            </w:r>
          </w:p>
        </w:tc>
        <w:tc>
          <w:tcPr>
            <w:tcW w:type="dxa" w:w="5112"/>
            <w:vAlign w:val="top"/>
          </w:tcPr>
          <w:p>
            <w:r>
              <w:t>4px base: 4, 8, 12, 16, 20, 24, 32, 40, 48, 64</w:t>
            </w:r>
          </w:p>
        </w:tc>
      </w:tr>
      <w:tr>
        <w:tc>
          <w:tcPr>
            <w:tcW w:type="dxa" w:w="5112"/>
            <w:vAlign w:val="top"/>
          </w:tcPr>
          <w:p>
            <w:r>
              <w:t>Radius</w:t>
            </w:r>
          </w:p>
        </w:tc>
        <w:tc>
          <w:tcPr>
            <w:tcW w:type="dxa" w:w="5112"/>
            <w:vAlign w:val="top"/>
          </w:tcPr>
          <w:p>
            <w:r>
              <w:t>6–12px; use larger only for marketing/captive emphasis</w:t>
            </w:r>
          </w:p>
        </w:tc>
      </w:tr>
      <w:tr>
        <w:tc>
          <w:tcPr>
            <w:tcW w:type="dxa" w:w="5112"/>
            <w:vAlign w:val="top"/>
          </w:tcPr>
          <w:p>
            <w:r>
              <w:t>Grid</w:t>
            </w:r>
          </w:p>
        </w:tc>
        <w:tc>
          <w:tcPr>
            <w:tcW w:type="dxa" w:w="5112"/>
            <w:vAlign w:val="top"/>
          </w:tcPr>
          <w:p>
            <w:r>
              <w:t>Provider desktop: 12 columns</w:t>
            </w:r>
          </w:p>
        </w:tc>
      </w:tr>
      <w:tr>
        <w:tc>
          <w:tcPr>
            <w:tcW w:type="dxa" w:w="5112"/>
            <w:vAlign w:val="top"/>
          </w:tcPr>
          <w:p>
            <w:r>
              <w:t>Content width</w:t>
            </w:r>
          </w:p>
        </w:tc>
        <w:tc>
          <w:tcPr>
            <w:tcW w:type="dxa" w:w="5112"/>
            <w:vAlign w:val="top"/>
          </w:tcPr>
          <w:p>
            <w:r>
              <w:t>Approximately 1440px maximum</w:t>
            </w:r>
          </w:p>
        </w:tc>
      </w:tr>
      <w:tr>
        <w:tc>
          <w:tcPr>
            <w:tcW w:type="dxa" w:w="5112"/>
            <w:vAlign w:val="top"/>
          </w:tcPr>
          <w:p>
            <w:r>
              <w:t>Desktop padding</w:t>
            </w:r>
          </w:p>
        </w:tc>
        <w:tc>
          <w:tcPr>
            <w:tcW w:type="dxa" w:w="5112"/>
            <w:vAlign w:val="top"/>
          </w:tcPr>
          <w:p>
            <w:r>
              <w:t>24–32px</w:t>
            </w:r>
          </w:p>
        </w:tc>
      </w:tr>
      <w:tr>
        <w:tc>
          <w:tcPr>
            <w:tcW w:type="dxa" w:w="5112"/>
            <w:vAlign w:val="top"/>
          </w:tcPr>
          <w:p>
            <w:r>
              <w:t>Mobile padding</w:t>
            </w:r>
          </w:p>
        </w:tc>
        <w:tc>
          <w:tcPr>
            <w:tcW w:type="dxa" w:w="5112"/>
            <w:vAlign w:val="top"/>
          </w:tcPr>
          <w:p>
            <w:r>
              <w:t>16px</w:t>
            </w:r>
          </w:p>
        </w:tc>
      </w:tr>
      <w:tr>
        <w:tc>
          <w:tcPr>
            <w:tcW w:type="dxa" w:w="5112"/>
            <w:vAlign w:val="top"/>
          </w:tcPr>
          <w:p>
            <w:r>
              <w:t>Motion</w:t>
            </w:r>
          </w:p>
        </w:tc>
        <w:tc>
          <w:tcPr>
            <w:tcW w:type="dxa" w:w="5112"/>
            <w:vAlign w:val="top"/>
          </w:tcPr>
          <w:p>
            <w:r>
              <w:t>Purposeful 150–220ms; respect reduced motion</w:t>
            </w:r>
          </w:p>
        </w:tc>
      </w:tr>
    </w:tbl>
    <w:p>
      <w:pPr>
        <w:pStyle w:val="Heading1"/>
      </w:pPr>
      <w:r>
        <w:t>5. Core component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 states</w:t>
            </w:r>
          </w:p>
        </w:tc>
      </w:tr>
      <w:tr>
        <w:tc>
          <w:tcPr>
            <w:tcW w:type="dxa" w:w="3408"/>
            <w:vAlign w:val="top"/>
          </w:tcPr>
          <w:p>
            <w:r>
              <w:t>Button</w:t>
            </w:r>
          </w:p>
        </w:tc>
        <w:tc>
          <w:tcPr>
            <w:tcW w:type="dxa" w:w="3408"/>
            <w:vAlign w:val="top"/>
          </w:tcPr>
          <w:p>
            <w:r>
              <w:t>Primary, secondary, ghost, danger</w:t>
            </w:r>
          </w:p>
        </w:tc>
        <w:tc>
          <w:tcPr>
            <w:tcW w:type="dxa" w:w="3408"/>
            <w:vAlign w:val="top"/>
          </w:tcPr>
          <w:p>
            <w:r>
              <w:t>Default, hover, focus, disabled, loading</w:t>
            </w:r>
          </w:p>
        </w:tc>
      </w:tr>
      <w:tr>
        <w:tc>
          <w:tcPr>
            <w:tcW w:type="dxa" w:w="3408"/>
            <w:vAlign w:val="top"/>
          </w:tcPr>
          <w:p>
            <w:r>
              <w:t>Input</w:t>
            </w:r>
          </w:p>
        </w:tc>
        <w:tc>
          <w:tcPr>
            <w:tcW w:type="dxa" w:w="3408"/>
            <w:vAlign w:val="top"/>
          </w:tcPr>
          <w:p>
            <w:r>
              <w:t>Text, search, numeric, password</w:t>
            </w:r>
          </w:p>
        </w:tc>
        <w:tc>
          <w:tcPr>
            <w:tcW w:type="dxa" w:w="3408"/>
            <w:vAlign w:val="top"/>
          </w:tcPr>
          <w:p>
            <w:r>
              <w:t>Default, focus, filled, error, disabled</w:t>
            </w:r>
          </w:p>
        </w:tc>
      </w:tr>
      <w:tr>
        <w:tc>
          <w:tcPr>
            <w:tcW w:type="dxa" w:w="3408"/>
            <w:vAlign w:val="top"/>
          </w:tcPr>
          <w:p>
            <w:r>
              <w:t>Select</w:t>
            </w:r>
          </w:p>
        </w:tc>
        <w:tc>
          <w:tcPr>
            <w:tcW w:type="dxa" w:w="3408"/>
            <w:vAlign w:val="top"/>
          </w:tcPr>
          <w:p>
            <w:r>
              <w:t>Single/multi</w:t>
            </w:r>
          </w:p>
        </w:tc>
        <w:tc>
          <w:tcPr>
            <w:tcW w:type="dxa" w:w="3408"/>
            <w:vAlign w:val="top"/>
          </w:tcPr>
          <w:p>
            <w:r>
              <w:t>Default, open, focus, error, disabled</w:t>
            </w:r>
          </w:p>
        </w:tc>
      </w:tr>
      <w:tr>
        <w:tc>
          <w:tcPr>
            <w:tcW w:type="dxa" w:w="3408"/>
            <w:vAlign w:val="top"/>
          </w:tcPr>
          <w:p>
            <w:r>
              <w:t>Badge</w:t>
            </w:r>
          </w:p>
        </w:tc>
        <w:tc>
          <w:tcPr>
            <w:tcW w:type="dxa" w:w="3408"/>
            <w:vAlign w:val="top"/>
          </w:tcPr>
          <w:p>
            <w:r>
              <w:t>Status/semantic</w:t>
            </w:r>
          </w:p>
        </w:tc>
        <w:tc>
          <w:tcPr>
            <w:tcW w:type="dxa" w:w="3408"/>
            <w:vAlign w:val="top"/>
          </w:tcPr>
          <w:p>
            <w:r>
              <w:t>Each status with icon/text</w:t>
            </w:r>
          </w:p>
        </w:tc>
      </w:tr>
      <w:tr>
        <w:tc>
          <w:tcPr>
            <w:tcW w:type="dxa" w:w="3408"/>
            <w:vAlign w:val="top"/>
          </w:tcPr>
          <w:p>
            <w:r>
              <w:t>Card</w:t>
            </w:r>
          </w:p>
        </w:tc>
        <w:tc>
          <w:tcPr>
            <w:tcW w:type="dxa" w:w="3408"/>
            <w:vAlign w:val="top"/>
          </w:tcPr>
          <w:p>
            <w:r>
              <w:t>Default, elevated, interactive</w:t>
            </w:r>
          </w:p>
        </w:tc>
        <w:tc>
          <w:tcPr>
            <w:tcW w:type="dxa" w:w="3408"/>
            <w:vAlign w:val="top"/>
          </w:tcPr>
          <w:p>
            <w:r>
              <w:t>Default, hover, selected, disabled</w:t>
            </w:r>
          </w:p>
        </w:tc>
      </w:tr>
      <w:tr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Compact/standard</w:t>
            </w:r>
          </w:p>
        </w:tc>
        <w:tc>
          <w:tcPr>
            <w:tcW w:type="dxa" w:w="3408"/>
            <w:vAlign w:val="top"/>
          </w:tcPr>
          <w:p>
            <w:r>
              <w:t>Loading, empty, error, populated, selected</w:t>
            </w:r>
          </w:p>
        </w:tc>
      </w:tr>
      <w:tr>
        <w:tc>
          <w:tcPr>
            <w:tcW w:type="dxa" w:w="3408"/>
            <w:vAlign w:val="top"/>
          </w:tcPr>
          <w:p>
            <w:r>
              <w:t>Modal</w:t>
            </w:r>
          </w:p>
        </w:tc>
        <w:tc>
          <w:tcPr>
            <w:tcW w:type="dxa" w:w="3408"/>
            <w:vAlign w:val="top"/>
          </w:tcPr>
          <w:p>
            <w:r>
              <w:t>Confirm/form</w:t>
            </w:r>
          </w:p>
        </w:tc>
        <w:tc>
          <w:tcPr>
            <w:tcW w:type="dxa" w:w="3408"/>
            <w:vAlign w:val="top"/>
          </w:tcPr>
          <w:p>
            <w:r>
              <w:t>Open, validation error, submitting, success</w:t>
            </w:r>
          </w:p>
        </w:tc>
      </w:tr>
      <w:tr>
        <w:tc>
          <w:tcPr>
            <w:tcW w:type="dxa" w:w="3408"/>
            <w:vAlign w:val="top"/>
          </w:tcPr>
          <w:p>
            <w:r>
              <w:t>Drawer</w:t>
            </w:r>
          </w:p>
        </w:tc>
        <w:tc>
          <w:tcPr>
            <w:tcW w:type="dxa" w:w="3408"/>
            <w:vAlign w:val="top"/>
          </w:tcPr>
          <w:p>
            <w:r>
              <w:t>Detail/filter</w:t>
            </w:r>
          </w:p>
        </w:tc>
        <w:tc>
          <w:tcPr>
            <w:tcW w:type="dxa" w:w="3408"/>
            <w:vAlign w:val="top"/>
          </w:tcPr>
          <w:p>
            <w:r>
              <w:t>Open, loading, error</w:t>
            </w:r>
          </w:p>
        </w:tc>
      </w:tr>
      <w:tr>
        <w:tc>
          <w:tcPr>
            <w:tcW w:type="dxa" w:w="3408"/>
            <w:vAlign w:val="top"/>
          </w:tcPr>
          <w:p>
            <w:r>
              <w:t>Toast</w:t>
            </w:r>
          </w:p>
        </w:tc>
        <w:tc>
          <w:tcPr>
            <w:tcW w:type="dxa" w:w="3408"/>
            <w:vAlign w:val="top"/>
          </w:tcPr>
          <w:p>
            <w:r>
              <w:t>Success/info/warning/error</w:t>
            </w:r>
          </w:p>
        </w:tc>
        <w:tc>
          <w:tcPr>
            <w:tcW w:type="dxa" w:w="3408"/>
            <w:vAlign w:val="top"/>
          </w:tcPr>
          <w:p>
            <w:r>
              <w:t>Auto-dismiss where safe; persistent for critical events</w:t>
            </w:r>
          </w:p>
        </w:tc>
      </w:tr>
      <w:tr>
        <w:tc>
          <w:tcPr>
            <w:tcW w:type="dxa" w:w="3408"/>
            <w:vAlign w:val="top"/>
          </w:tcPr>
          <w:p>
            <w:r>
              <w:t>Tabs</w:t>
            </w:r>
          </w:p>
        </w:tc>
        <w:tc>
          <w:tcPr>
            <w:tcW w:type="dxa" w:w="3408"/>
            <w:vAlign w:val="top"/>
          </w:tcPr>
          <w:p>
            <w:r>
              <w:t>Primary/secondary</w:t>
            </w:r>
          </w:p>
        </w:tc>
        <w:tc>
          <w:tcPr>
            <w:tcW w:type="dxa" w:w="3408"/>
            <w:vAlign w:val="top"/>
          </w:tcPr>
          <w:p>
            <w:r>
              <w:t>Active, hover, focus, disabled</w:t>
            </w:r>
          </w:p>
        </w:tc>
      </w:tr>
      <w:tr>
        <w:tc>
          <w:tcPr>
            <w:tcW w:type="dxa" w:w="3408"/>
            <w:vAlign w:val="top"/>
          </w:tcPr>
          <w:p>
            <w:r>
              <w:t>Timeline</w:t>
            </w:r>
          </w:p>
        </w:tc>
        <w:tc>
          <w:tcPr>
            <w:tcW w:type="dxa" w:w="3408"/>
            <w:vAlign w:val="top"/>
          </w:tcPr>
          <w:p>
            <w:r>
              <w:t>Operational/event</w:t>
            </w:r>
          </w:p>
        </w:tc>
        <w:tc>
          <w:tcPr>
            <w:tcW w:type="dxa" w:w="3408"/>
            <w:vAlign w:val="top"/>
          </w:tcPr>
          <w:p>
            <w:r>
              <w:t>Pending, running, success, failure</w:t>
            </w:r>
          </w:p>
        </w:tc>
      </w:tr>
    </w:tbl>
    <w:p>
      <w:pPr>
        <w:pStyle w:val="Heading1"/>
      </w:pPr>
      <w:r>
        <w:t>6. Data table contract</w:t>
      </w:r>
    </w:p>
    <w:p>
      <w:pPr>
        <w:pStyle w:val="ListBullet"/>
      </w:pPr>
      <w:r>
        <w:t>Search and filters are visible above the table.</w:t>
      </w:r>
    </w:p>
    <w:p>
      <w:pPr>
        <w:pStyle w:val="ListBullet"/>
      </w:pPr>
      <w:r>
        <w:t>Identity and status columns precede secondary metadata.</w:t>
      </w:r>
    </w:p>
    <w:p>
      <w:pPr>
        <w:pStyle w:val="ListBullet"/>
      </w:pPr>
      <w:r>
        <w:t>Server-side pagination/filtering for large lists.</w:t>
      </w:r>
    </w:p>
    <w:p>
      <w:pPr>
        <w:pStyle w:val="ListBullet"/>
      </w:pPr>
      <w:r>
        <w:t>Sticky header when page scroll requires it.</w:t>
      </w:r>
    </w:p>
    <w:p>
      <w:pPr>
        <w:pStyle w:val="ListBullet"/>
      </w:pPr>
      <w:r>
        <w:t>Rows expose clear hover/focus state without relying on color.</w:t>
      </w:r>
    </w:p>
    <w:p>
      <w:pPr>
        <w:pStyle w:val="ListBullet"/>
      </w:pPr>
      <w:r>
        <w:t>Mobile transforms rows into cards with identity, status, time and primary action.</w:t>
      </w:r>
    </w:p>
    <w:p>
      <w:pPr>
        <w:pStyle w:val="Heading1"/>
      </w:pPr>
      <w:r>
        <w:t>7. Form contract</w:t>
      </w:r>
    </w:p>
    <w:p>
      <w:pPr>
        <w:pStyle w:val="ListBullet"/>
      </w:pPr>
      <w:r>
        <w:t>Labels remain visible; placeholders never replace labels.</w:t>
      </w:r>
    </w:p>
    <w:p>
      <w:pPr>
        <w:pStyle w:val="ListBullet"/>
      </w:pPr>
      <w:r>
        <w:t>Inline validation maps backend errors to fields where possible.</w:t>
      </w:r>
    </w:p>
    <w:p>
      <w:pPr>
        <w:pStyle w:val="ListBullet"/>
      </w:pPr>
      <w:r>
        <w:t>Destructive/network forms use explicit review before mutation.</w:t>
      </w:r>
    </w:p>
    <w:p>
      <w:pPr>
        <w:pStyle w:val="ListBullet"/>
      </w:pPr>
      <w:r>
        <w:t>Dates/times always display timezone when scheduling is involved.</w:t>
      </w:r>
    </w:p>
    <w:p>
      <w:pPr>
        <w:pStyle w:val="ListBullet"/>
      </w:pPr>
      <w:r>
        <w:t>Submit state prevents duplicate requests.</w:t>
      </w:r>
    </w:p>
    <w:p>
      <w:pPr>
        <w:pStyle w:val="ListBullet"/>
      </w:pPr>
      <w:r>
        <w:t>Unsaved changes warning is used only where data loss is plausible.</w:t>
      </w:r>
    </w:p>
    <w:p>
      <w:pPr>
        <w:pStyle w:val="Heading1"/>
      </w:pPr>
      <w:r>
        <w:t>8. Accessibility</w:t>
      </w:r>
    </w:p>
    <w:p>
      <w:pPr>
        <w:pStyle w:val="ListBullet"/>
      </w:pPr>
      <w:r>
        <w:t>Keyboard focus visible across all controls.</w:t>
      </w:r>
    </w:p>
    <w:p>
      <w:pPr>
        <w:pStyle w:val="ListBullet"/>
      </w:pPr>
      <w:r>
        <w:t>Semantic headings preserve page hierarchy.</w:t>
      </w:r>
    </w:p>
    <w:p>
      <w:pPr>
        <w:pStyle w:val="ListBullet"/>
      </w:pPr>
      <w:r>
        <w:t>Status never relies on color alone.</w:t>
      </w:r>
    </w:p>
    <w:p>
      <w:pPr>
        <w:pStyle w:val="ListBullet"/>
      </w:pPr>
      <w:r>
        <w:t>Dialog focus trapping and restoration implemented.</w:t>
      </w:r>
    </w:p>
    <w:p>
      <w:pPr>
        <w:pStyle w:val="ListBullet"/>
      </w:pPr>
      <w:r>
        <w:t>Touch targets appropriate for mobile.</w:t>
      </w:r>
    </w:p>
    <w:p>
      <w:pPr>
        <w:pStyle w:val="ListBullet"/>
      </w:pPr>
      <w:r>
        <w:t>Reduced-motion preference respected.</w:t>
      </w:r>
    </w:p>
    <w:p>
      <w:pPr>
        <w:pStyle w:val="ListBullet"/>
      </w:pPr>
      <w:r>
        <w:t>Contrast reviewed separately in light and dark themes.</w:t>
      </w:r>
    </w:p>
    <w:p>
      <w:pPr>
        <w:pStyle w:val="Heading1"/>
      </w:pPr>
      <w:r>
        <w:t>9. Figma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 / naming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>
              <w:t>Pages</w:t>
            </w:r>
          </w:p>
        </w:tc>
        <w:tc>
          <w:tcPr>
            <w:tcW w:type="dxa" w:w="5112"/>
            <w:vAlign w:val="top"/>
          </w:tcPr>
          <w:p>
            <w:r>
              <w:t>01 Foundations, 02 Components, 03 Public, 04 Auth, 05 Provider, 06 Hard Logout, 07 Captive, 08 Prototypes</w:t>
            </w:r>
          </w:p>
        </w:tc>
      </w:tr>
      <w:tr>
        <w:tc>
          <w:tcPr>
            <w:tcW w:type="dxa" w:w="5112"/>
            <w:vAlign w:val="top"/>
          </w:tcPr>
          <w:p>
            <w:r>
              <w:t>Components</w:t>
            </w:r>
          </w:p>
        </w:tc>
        <w:tc>
          <w:tcPr>
            <w:tcW w:type="dxa" w:w="5112"/>
            <w:vAlign w:val="top"/>
          </w:tcPr>
          <w:p>
            <w:r>
              <w:t>Use semantic names and variants, e.g. Button / Variant /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Variables</w:t>
            </w:r>
          </w:p>
        </w:tc>
        <w:tc>
          <w:tcPr>
            <w:tcW w:type="dxa" w:w="5112"/>
            <w:vAlign w:val="top"/>
          </w:tcPr>
          <w:p>
            <w:r>
              <w:t>Map Figma variables to semantic tokens, not page-specific colors</w:t>
            </w:r>
          </w:p>
        </w:tc>
      </w:tr>
      <w:tr>
        <w:tc>
          <w:tcPr>
            <w:tcW w:type="dxa" w:w="5112"/>
            <w:vAlign w:val="top"/>
          </w:tcPr>
          <w:p>
            <w:r>
              <w:t>Auto Layout</w:t>
            </w:r>
          </w:p>
        </w:tc>
        <w:tc>
          <w:tcPr>
            <w:tcW w:type="dxa" w:w="5112"/>
            <w:vAlign w:val="top"/>
          </w:tcPr>
          <w:p>
            <w:r>
              <w:t>Required for reusable components and responsive sections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Prototype</w:t>
            </w:r>
          </w:p>
        </w:tc>
        <w:tc>
          <w:tcPr>
            <w:tcW w:type="dxa" w:w="5112"/>
            <w:vAlign w:val="top"/>
          </w:tcPr>
          <w:p>
            <w:r>
              <w:t>Critical flows: auth, router drill-down, disconnect, plan creation, Hard Logout, captive access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