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WIZYFI BRIDGE — FIGMA HANDOFF &amp; DESIGN-TO-ENGINEERING SPECIFICATION</w:t>
      </w:r>
    </w:p>
    <w:p>
      <w:pPr>
        <w:jc w:val="center"/>
      </w:pPr>
      <w:r>
        <w:rPr>
          <w:i/>
          <w:color w:val="475569"/>
          <w:sz w:val="22"/>
        </w:rPr>
        <w:t>Round 2 • File structure, components, variants, prototypes, annotations and acceptance</w:t>
      </w:r>
    </w:p>
    <w:p>
      <w:pPr>
        <w:pStyle w:val="Heading1"/>
      </w:pPr>
      <w:r>
        <w:t>1. Figma file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Completion rule</w:t>
            </w:r>
          </w:p>
        </w:tc>
      </w:tr>
      <w:tr>
        <w:tc>
          <w:tcPr>
            <w:tcW w:type="dxa" w:w="3408"/>
            <w:vAlign w:val="top"/>
          </w:tcPr>
          <w:p>
            <w:r>
              <w:t>01 Foundations</w:t>
            </w:r>
          </w:p>
        </w:tc>
        <w:tc>
          <w:tcPr>
            <w:tcW w:type="dxa" w:w="3408"/>
            <w:vAlign w:val="top"/>
          </w:tcPr>
          <w:p>
            <w:r>
              <w:t>Color variables, type, spacing, icons, grid, elevation</w:t>
            </w:r>
          </w:p>
        </w:tc>
        <w:tc>
          <w:tcPr>
            <w:tcW w:type="dxa" w:w="3408"/>
            <w:vAlign w:val="top"/>
          </w:tcPr>
          <w:p>
            <w:r>
              <w:t>No page-specific tokens</w:t>
            </w:r>
          </w:p>
        </w:tc>
      </w:tr>
      <w:tr>
        <w:tc>
          <w:tcPr>
            <w:tcW w:type="dxa" w:w="3408"/>
            <w:vAlign w:val="top"/>
          </w:tcPr>
          <w:p>
            <w:r>
              <w:t>02 Components</w:t>
            </w:r>
          </w:p>
        </w:tc>
        <w:tc>
          <w:tcPr>
            <w:tcW w:type="dxa" w:w="3408"/>
            <w:vAlign w:val="top"/>
          </w:tcPr>
          <w:p>
            <w:r>
              <w:t>Buttons, inputs, tables, navigation, dialogs, charts</w:t>
            </w:r>
          </w:p>
        </w:tc>
        <w:tc>
          <w:tcPr>
            <w:tcW w:type="dxa" w:w="3408"/>
            <w:vAlign w:val="top"/>
          </w:tcPr>
          <w:p>
            <w:r>
              <w:t>Variants/state matrix complete</w:t>
            </w:r>
          </w:p>
        </w:tc>
      </w:tr>
      <w:tr>
        <w:tc>
          <w:tcPr>
            <w:tcW w:type="dxa" w:w="3408"/>
            <w:vAlign w:val="top"/>
          </w:tcPr>
          <w:p>
            <w:r>
              <w:t>03 Public</w:t>
            </w:r>
          </w:p>
        </w:tc>
        <w:tc>
          <w:tcPr>
            <w:tcW w:type="dxa" w:w="3408"/>
            <w:vAlign w:val="top"/>
          </w:tcPr>
          <w:p>
            <w:r>
              <w:t>Home, features, how it works, providers, about, contact</w:t>
            </w:r>
          </w:p>
        </w:tc>
        <w:tc>
          <w:tcPr>
            <w:tcW w:type="dxa" w:w="3408"/>
            <w:vAlign w:val="top"/>
          </w:tcPr>
          <w:p>
            <w:r>
              <w:t>Desktop + mobile</w:t>
            </w:r>
          </w:p>
        </w:tc>
      </w:tr>
      <w:tr>
        <w:tc>
          <w:tcPr>
            <w:tcW w:type="dxa" w:w="3408"/>
            <w:vAlign w:val="top"/>
          </w:tcPr>
          <w:p>
            <w:r>
              <w:t>04 Auth</w:t>
            </w:r>
          </w:p>
        </w:tc>
        <w:tc>
          <w:tcPr>
            <w:tcW w:type="dxa" w:w="3408"/>
            <w:vAlign w:val="top"/>
          </w:tcPr>
          <w:p>
            <w:r>
              <w:t>Sign in, register, recover, verification states</w:t>
            </w:r>
          </w:p>
        </w:tc>
        <w:tc>
          <w:tcPr>
            <w:tcW w:type="dxa" w:w="3408"/>
            <w:vAlign w:val="top"/>
          </w:tcPr>
          <w:p>
            <w:r>
              <w:t>Error/success/loading</w:t>
            </w:r>
          </w:p>
        </w:tc>
      </w:tr>
      <w:tr>
        <w:tc>
          <w:tcPr>
            <w:tcW w:type="dxa" w:w="3408"/>
            <w:vAlign w:val="top"/>
          </w:tcPr>
          <w:p>
            <w:r>
              <w:t>05 Provider</w:t>
            </w:r>
          </w:p>
        </w:tc>
        <w:tc>
          <w:tcPr>
            <w:tcW w:type="dxa" w:w="3408"/>
            <w:vAlign w:val="top"/>
          </w:tcPr>
          <w:p>
            <w:r>
              <w:t>Shell + all provider pages</w:t>
            </w:r>
          </w:p>
        </w:tc>
        <w:tc>
          <w:tcPr>
            <w:tcW w:type="dxa" w:w="3408"/>
            <w:vAlign w:val="top"/>
          </w:tcPr>
          <w:p>
            <w:r>
              <w:t>Desktop/tablet/mobile</w:t>
            </w:r>
          </w:p>
        </w:tc>
      </w:tr>
      <w:tr>
        <w:tc>
          <w:tcPr>
            <w:tcW w:type="dxa" w:w="3408"/>
            <w:vAlign w:val="top"/>
          </w:tcPr>
          <w:p>
            <w:r>
              <w:t>06 Hard Logout</w:t>
            </w:r>
          </w:p>
        </w:tc>
        <w:tc>
          <w:tcPr>
            <w:tcW w:type="dxa" w:w="3408"/>
            <w:vAlign w:val="top"/>
          </w:tcPr>
          <w:p>
            <w:r>
              <w:t>All scheduling/execution/history screens</w:t>
            </w:r>
          </w:p>
        </w:tc>
        <w:tc>
          <w:tcPr>
            <w:tcW w:type="dxa" w:w="3408"/>
            <w:vAlign w:val="top"/>
          </w:tcPr>
          <w:p>
            <w:r>
              <w:t>Safety review complete</w:t>
            </w:r>
          </w:p>
        </w:tc>
      </w:tr>
      <w:tr>
        <w:tc>
          <w:tcPr>
            <w:tcW w:type="dxa" w:w="3408"/>
            <w:vAlign w:val="top"/>
          </w:tcPr>
          <w:p>
            <w:r>
              <w:t>07 Captive</w:t>
            </w:r>
          </w:p>
        </w:tc>
        <w:tc>
          <w:tcPr>
            <w:tcW w:type="dxa" w:w="3408"/>
            <w:vAlign w:val="top"/>
          </w:tcPr>
          <w:p>
            <w:r>
              <w:t>Welcome through session/expiry/error</w:t>
            </w:r>
          </w:p>
        </w:tc>
        <w:tc>
          <w:tcPr>
            <w:tcW w:type="dxa" w:w="3408"/>
            <w:vAlign w:val="top"/>
          </w:tcPr>
          <w:p>
            <w:r>
              <w:t>Mobile-first</w:t>
            </w:r>
          </w:p>
        </w:tc>
      </w:tr>
      <w:tr>
        <w:tc>
          <w:tcPr>
            <w:tcW w:type="dxa" w:w="3408"/>
            <w:vAlign w:val="top"/>
          </w:tcPr>
          <w:p>
            <w:r>
              <w:t>08 Prototypes</w:t>
            </w:r>
          </w:p>
        </w:tc>
        <w:tc>
          <w:tcPr>
            <w:tcW w:type="dxa" w:w="3408"/>
            <w:vAlign w:val="top"/>
          </w:tcPr>
          <w:p>
            <w:r>
              <w:t>Critical end-to-end flows</w:t>
            </w:r>
          </w:p>
        </w:tc>
        <w:tc>
          <w:tcPr>
            <w:tcW w:type="dxa" w:w="3408"/>
            <w:vAlign w:val="top"/>
          </w:tcPr>
          <w:p>
            <w:r>
              <w:t>Happy + critical error paths</w:t>
            </w:r>
          </w:p>
        </w:tc>
      </w:tr>
      <w:tr>
        <w:tc>
          <w:tcPr>
            <w:tcW w:type="dxa" w:w="3408"/>
            <w:vAlign w:val="top"/>
          </w:tcPr>
          <w:p>
            <w:r>
              <w:t>09 Handoff</w:t>
            </w:r>
          </w:p>
        </w:tc>
        <w:tc>
          <w:tcPr>
            <w:tcW w:type="dxa" w:w="3408"/>
            <w:vAlign w:val="top"/>
          </w:tcPr>
          <w:p>
            <w:r>
              <w:t>Redlines, behavior notes, API dependencies</w:t>
            </w:r>
          </w:p>
        </w:tc>
        <w:tc>
          <w:tcPr>
            <w:tcW w:type="dxa" w:w="3408"/>
            <w:vAlign w:val="top"/>
          </w:tcPr>
          <w:p>
            <w:r>
              <w:t>Implementation notes complete</w:t>
            </w:r>
          </w:p>
        </w:tc>
      </w:tr>
    </w:tbl>
    <w:p>
      <w:pPr>
        <w:pStyle w:val="Heading1"/>
      </w:pPr>
      <w:r>
        <w:t>2. Component naming</w:t>
      </w:r>
    </w:p>
    <w:p>
      <w:r>
        <w:t>Use: Component / Variant / State / Size where useful. Example: Button / Primary / Loading / Medium. Avoid names based on color alone such as BlueButton.</w:t>
      </w:r>
    </w:p>
    <w:p>
      <w:pPr>
        <w:pStyle w:val="Heading1"/>
      </w:pPr>
      <w:r>
        <w:t>3. Component annotation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Annotation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Must specify</w:t>
            </w:r>
          </w:p>
        </w:tc>
      </w:tr>
      <w:tr>
        <w:tc>
          <w:tcPr>
            <w:tcW w:type="dxa" w:w="5112"/>
            <w:vAlign w:val="top"/>
          </w:tcPr>
          <w:p>
            <w:r>
              <w:t>Purpose</w:t>
            </w:r>
          </w:p>
        </w:tc>
        <w:tc>
          <w:tcPr>
            <w:tcW w:type="dxa" w:w="5112"/>
            <w:vAlign w:val="top"/>
          </w:tcPr>
          <w:p>
            <w:r>
              <w:t>What task the component supports</w:t>
            </w:r>
          </w:p>
        </w:tc>
      </w:tr>
      <w:tr>
        <w:tc>
          <w:tcPr>
            <w:tcW w:type="dxa" w:w="5112"/>
            <w:vAlign w:val="top"/>
          </w:tcPr>
          <w:p>
            <w:r>
              <w:t>Data</w:t>
            </w:r>
          </w:p>
        </w:tc>
        <w:tc>
          <w:tcPr>
            <w:tcW w:type="dxa" w:w="5112"/>
            <w:vAlign w:val="top"/>
          </w:tcPr>
          <w:p>
            <w:r>
              <w:t>Required fields and optional fields</w:t>
            </w:r>
          </w:p>
        </w:tc>
      </w:tr>
      <w:tr>
        <w:tc>
          <w:tcPr>
            <w:tcW w:type="dxa" w:w="5112"/>
            <w:vAlign w:val="top"/>
          </w:tcPr>
          <w:p>
            <w:r>
              <w:t>Interaction</w:t>
            </w:r>
          </w:p>
        </w:tc>
        <w:tc>
          <w:tcPr>
            <w:tcW w:type="dxa" w:w="5112"/>
            <w:vAlign w:val="top"/>
          </w:tcPr>
          <w:p>
            <w:r>
              <w:t>Click, hover, keyboard, submit, selection behavior</w:t>
            </w:r>
          </w:p>
        </w:tc>
      </w:tr>
      <w:tr>
        <w:tc>
          <w:tcPr>
            <w:tcW w:type="dxa" w:w="5112"/>
            <w:vAlign w:val="top"/>
          </w:tcPr>
          <w:p>
            <w:r>
              <w:t>Validation</w:t>
            </w:r>
          </w:p>
        </w:tc>
        <w:tc>
          <w:tcPr>
            <w:tcW w:type="dxa" w:w="5112"/>
            <w:vAlign w:val="top"/>
          </w:tcPr>
          <w:p>
            <w:r>
              <w:t>Client and server rules</w:t>
            </w:r>
          </w:p>
        </w:tc>
      </w:tr>
      <w:tr>
        <w:tc>
          <w:tcPr>
            <w:tcW w:type="dxa" w:w="5112"/>
            <w:vAlign w:val="top"/>
          </w:tcPr>
          <w:p>
            <w:r>
              <w:t>Permission</w:t>
            </w:r>
          </w:p>
        </w:tc>
        <w:tc>
          <w:tcPr>
            <w:tcW w:type="dxa" w:w="5112"/>
            <w:vAlign w:val="top"/>
          </w:tcPr>
          <w:p>
            <w:r>
              <w:t>Who can see/use it</w:t>
            </w:r>
          </w:p>
        </w:tc>
      </w:tr>
      <w:tr>
        <w:tc>
          <w:tcPr>
            <w:tcW w:type="dxa" w:w="5112"/>
            <w:vAlign w:val="top"/>
          </w:tcPr>
          <w:p>
            <w:r>
              <w:t>Responsive</w:t>
            </w:r>
          </w:p>
        </w:tc>
        <w:tc>
          <w:tcPr>
            <w:tcW w:type="dxa" w:w="5112"/>
            <w:vAlign w:val="top"/>
          </w:tcPr>
          <w:p>
            <w:r>
              <w:t>Transformation at breakpoints</w:t>
            </w:r>
          </w:p>
        </w:tc>
      </w:tr>
      <w:tr>
        <w:tc>
          <w:tcPr>
            <w:tcW w:type="dxa" w:w="5112"/>
            <w:vAlign w:val="top"/>
          </w:tcPr>
          <w:p>
            <w:r>
              <w:t>State</w:t>
            </w:r>
          </w:p>
        </w:tc>
        <w:tc>
          <w:tcPr>
            <w:tcW w:type="dxa" w:w="5112"/>
            <w:vAlign w:val="top"/>
          </w:tcPr>
          <w:p>
            <w:r>
              <w:t>Loading, empty, error, success, disabled</w:t>
            </w:r>
          </w:p>
        </w:tc>
      </w:tr>
      <w:tr>
        <w:tc>
          <w:tcPr>
            <w:tcW w:type="dxa" w:w="5112"/>
            <w:vAlign w:val="top"/>
          </w:tcPr>
          <w:p>
            <w:r>
              <w:t>Telemetry</w:t>
            </w:r>
          </w:p>
        </w:tc>
        <w:tc>
          <w:tcPr>
            <w:tcW w:type="dxa" w:w="5112"/>
            <w:vAlign w:val="top"/>
          </w:tcPr>
          <w:p>
            <w:r>
              <w:t>Important event/analytics hook if applicable</w:t>
            </w:r>
          </w:p>
        </w:tc>
      </w:tr>
    </w:tbl>
    <w:p>
      <w:pPr>
        <w:pStyle w:val="Heading1"/>
      </w:pPr>
      <w:r>
        <w:t>4. Prototype flows</w:t>
      </w:r>
    </w:p>
    <w:p>
      <w:pPr>
        <w:pStyle w:val="ListBullet"/>
      </w:pPr>
      <w:r>
        <w:t>Provider sign-in → dashboard → place → router → live connection.</w:t>
      </w:r>
    </w:p>
    <w:p>
      <w:pPr>
        <w:pStyle w:val="ListBullet"/>
      </w:pPr>
      <w:r>
        <w:t>Live connection → disconnect confirmation → committed result.</w:t>
      </w:r>
    </w:p>
    <w:p>
      <w:pPr>
        <w:pStyle w:val="ListBullet"/>
      </w:pPr>
      <w:r>
        <w:t>Access plan → create/edit → preview → save.</w:t>
      </w:r>
    </w:p>
    <w:p>
      <w:pPr>
        <w:pStyle w:val="ListBullet"/>
      </w:pPr>
      <w:r>
        <w:t>Voucher → bulk generation → review → generated result.</w:t>
      </w:r>
    </w:p>
    <w:p>
      <w:pPr>
        <w:pStyle w:val="ListBullet"/>
      </w:pPr>
      <w:r>
        <w:t>Hard Logout → scope → time → impact → review → scheduled → running → terminal.</w:t>
      </w:r>
    </w:p>
    <w:p>
      <w:pPr>
        <w:pStyle w:val="ListBullet"/>
      </w:pPr>
      <w:r>
        <w:t>Captive portal → access/voucher → authentication → connecting → connected → expired.</w:t>
      </w:r>
    </w:p>
    <w:p>
      <w:pPr>
        <w:pStyle w:val="Heading1"/>
      </w:pPr>
      <w:r>
        <w:t>5. Design QA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5112"/>
            <w:vAlign w:val="top"/>
          </w:tcPr>
          <w:p>
            <w:r>
              <w:t>Token usage</w:t>
            </w:r>
          </w:p>
        </w:tc>
        <w:tc>
          <w:tcPr>
            <w:tcW w:type="dxa" w:w="5112"/>
            <w:vAlign w:val="top"/>
          </w:tcPr>
          <w:p>
            <w:r>
              <w:t>No hard-coded visual values where semantic tokens exist</w:t>
            </w:r>
          </w:p>
        </w:tc>
      </w:tr>
      <w:tr>
        <w:tc>
          <w:tcPr>
            <w:tcW w:type="dxa" w:w="5112"/>
            <w:vAlign w:val="top"/>
          </w:tcPr>
          <w:p>
            <w:r>
              <w:t>Theme parity</w:t>
            </w:r>
          </w:p>
        </w:tc>
        <w:tc>
          <w:tcPr>
            <w:tcW w:type="dxa" w:w="5112"/>
            <w:vAlign w:val="top"/>
          </w:tcPr>
          <w:p>
            <w:r>
              <w:t>Light and dark variants reviewed</w:t>
            </w:r>
          </w:p>
        </w:tc>
      </w:tr>
      <w:tr>
        <w:tc>
          <w:tcPr>
            <w:tcW w:type="dxa" w:w="5112"/>
            <w:vAlign w:val="top"/>
          </w:tcPr>
          <w:p>
            <w:r>
              <w:t>Responsive</w:t>
            </w:r>
          </w:p>
        </w:tc>
        <w:tc>
          <w:tcPr>
            <w:tcW w:type="dxa" w:w="5112"/>
            <w:vAlign w:val="top"/>
          </w:tcPr>
          <w:p>
            <w:r>
              <w:t>Desktop/tablet/mobile behavior specified</w:t>
            </w:r>
          </w:p>
        </w:tc>
      </w:tr>
      <w:tr>
        <w:tc>
          <w:tcPr>
            <w:tcW w:type="dxa" w:w="5112"/>
            <w:vAlign w:val="top"/>
          </w:tcPr>
          <w:p>
            <w:r>
              <w:t>States</w:t>
            </w:r>
          </w:p>
        </w:tc>
        <w:tc>
          <w:tcPr>
            <w:tcW w:type="dxa" w:w="5112"/>
            <w:vAlign w:val="top"/>
          </w:tcPr>
          <w:p>
            <w:r>
              <w:t>Every major component has documented states</w:t>
            </w:r>
          </w:p>
        </w:tc>
      </w:tr>
      <w:tr>
        <w:tc>
          <w:tcPr>
            <w:tcW w:type="dxa" w:w="5112"/>
            <w:vAlign w:val="top"/>
          </w:tcPr>
          <w:p>
            <w:r>
              <w:t>Accessibility</w:t>
            </w:r>
          </w:p>
        </w:tc>
        <w:tc>
          <w:tcPr>
            <w:tcW w:type="dxa" w:w="5112"/>
            <w:vAlign w:val="top"/>
          </w:tcPr>
          <w:p>
            <w:r>
              <w:t>Focus/labels/contrast/status semantics verified</w:t>
            </w:r>
          </w:p>
        </w:tc>
      </w:tr>
      <w:tr>
        <w:tc>
          <w:tcPr>
            <w:tcW w:type="dxa" w:w="5112"/>
            <w:vAlign w:val="top"/>
          </w:tcPr>
          <w:p>
            <w:r>
              <w:t>Engineering clarity</w:t>
            </w:r>
          </w:p>
        </w:tc>
        <w:tc>
          <w:tcPr>
            <w:tcW w:type="dxa" w:w="5112"/>
            <w:vAlign w:val="top"/>
          </w:tcPr>
          <w:p>
            <w:r>
              <w:t>No ambiguous interactions or undocumented behavior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