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2"/>
        </w:rPr>
        <w:t>WIZYFI BRIDGE — VISUAL DIAGRAM ATLAS</w:t>
      </w:r>
    </w:p>
    <w:p>
      <w:pPr>
        <w:jc w:val="center"/>
      </w:pPr>
      <w:r>
        <w:rPr>
          <w:i/>
          <w:color w:val="475569"/>
          <w:sz w:val="22"/>
        </w:rPr>
        <w:t>Canonical diagrams for architecture, provider workflow and Hard Logout lifecycle</w:t>
      </w:r>
    </w:p>
    <w:p>
      <w:pPr>
        <w:jc w:val="center"/>
      </w:pPr>
      <w:r>
        <w:rPr>
          <w:color w:val="64748B"/>
          <w:sz w:val="16"/>
        </w:rPr>
        <w:t>Wizyfi Bridge • Comprehensive Round 1 Specification • September 2026</w:t>
      </w:r>
    </w:p>
    <w:p>
      <w:pPr>
        <w:pStyle w:val="Heading1"/>
      </w:pPr>
      <w:r>
        <w:t>1. Purpose</w:t>
      </w:r>
    </w:p>
    <w:p>
      <w:r>
        <w:t>This atlas contains the canonical visual diagrams that should be reused in the master documentation, architecture reviews, implementation onboarding and stakeholder presentations. The diagrams are rendered as actual visual assets so that structure, boundaries and flow are visible at a glance.</w:t>
      </w:r>
    </w:p>
    <w:p>
      <w:pPr>
        <w:pStyle w:val="Heading1"/>
      </w:pPr>
      <w:r>
        <w:t>2. Product &amp; experience architecture</w:t>
      </w:r>
    </w:p>
    <w:p>
      <w:pPr>
        <w:jc w:val="center"/>
      </w:pPr>
      <w:r>
        <w:drawing>
          <wp:inline xmlns:a="http://schemas.openxmlformats.org/drawingml/2006/main" xmlns:pic="http://schemas.openxmlformats.org/drawingml/2006/picture">
            <wp:extent cx="6217920" cy="3799840"/>
            <wp:docPr id="1" name="Picture 1"/>
            <wp:cNvGraphicFramePr>
              <a:graphicFrameLocks noChangeAspect="1"/>
            </wp:cNvGraphicFramePr>
            <a:graphic>
              <a:graphicData uri="http://schemas.openxmlformats.org/drawingml/2006/picture">
                <pic:pic>
                  <pic:nvPicPr>
                    <pic:cNvPr id="0" name="01_product_experience_architecture.png"/>
                    <pic:cNvPicPr/>
                  </pic:nvPicPr>
                  <pic:blipFill>
                    <a:blip r:embed="rId9"/>
                    <a:stretch>
                      <a:fillRect/>
                    </a:stretch>
                  </pic:blipFill>
                  <pic:spPr>
                    <a:xfrm>
                      <a:off x="0" y="0"/>
                      <a:ext cx="6217920" cy="3799840"/>
                    </a:xfrm>
                    <a:prstGeom prst="rect"/>
                  </pic:spPr>
                </pic:pic>
              </a:graphicData>
            </a:graphic>
          </wp:inline>
        </w:drawing>
      </w:r>
    </w:p>
    <w:p>
      <w:pPr>
        <w:jc w:val="center"/>
      </w:pPr>
      <w:r>
        <w:rPr>
          <w:i/>
          <w:color w:val="475569"/>
          <w:sz w:val="16"/>
        </w:rPr>
        <w:t>Canonical architecture diagram.</w:t>
      </w:r>
    </w:p>
    <w:p>
      <w:pPr>
        <w:pStyle w:val="Heading1"/>
      </w:pPr>
      <w:r>
        <w:t>3. Provider operational mental model</w:t>
      </w:r>
    </w:p>
    <w:p>
      <w:pPr>
        <w:jc w:val="center"/>
      </w:pPr>
      <w:r>
        <w:drawing>
          <wp:inline xmlns:a="http://schemas.openxmlformats.org/drawingml/2006/main" xmlns:pic="http://schemas.openxmlformats.org/drawingml/2006/picture">
            <wp:extent cx="6217920" cy="2590800"/>
            <wp:docPr id="2" name="Picture 2"/>
            <wp:cNvGraphicFramePr>
              <a:graphicFrameLocks noChangeAspect="1"/>
            </wp:cNvGraphicFramePr>
            <a:graphic>
              <a:graphicData uri="http://schemas.openxmlformats.org/drawingml/2006/picture">
                <pic:pic>
                  <pic:nvPicPr>
                    <pic:cNvPr id="0" name="02_provider_core_journey.png"/>
                    <pic:cNvPicPr/>
                  </pic:nvPicPr>
                  <pic:blipFill>
                    <a:blip r:embed="rId10"/>
                    <a:stretch>
                      <a:fillRect/>
                    </a:stretch>
                  </pic:blipFill>
                  <pic:spPr>
                    <a:xfrm>
                      <a:off x="0" y="0"/>
                      <a:ext cx="6217920" cy="2590800"/>
                    </a:xfrm>
                    <a:prstGeom prst="rect"/>
                  </pic:spPr>
                </pic:pic>
              </a:graphicData>
            </a:graphic>
          </wp:inline>
        </w:drawing>
      </w:r>
    </w:p>
    <w:p>
      <w:pPr>
        <w:jc w:val="center"/>
      </w:pPr>
      <w:r>
        <w:rPr>
          <w:i/>
          <w:color w:val="475569"/>
          <w:sz w:val="16"/>
        </w:rPr>
        <w:t>Canonical provider journey diagram.</w:t>
      </w:r>
    </w:p>
    <w:p>
      <w:pPr>
        <w:pStyle w:val="Heading1"/>
      </w:pPr>
      <w:r>
        <w:t>4. Independent Hard Logout lifecycle</w:t>
      </w:r>
    </w:p>
    <w:p>
      <w:pPr>
        <w:jc w:val="center"/>
      </w:pPr>
      <w:r>
        <w:drawing>
          <wp:inline xmlns:a="http://schemas.openxmlformats.org/drawingml/2006/main" xmlns:pic="http://schemas.openxmlformats.org/drawingml/2006/picture">
            <wp:extent cx="6217920" cy="3627120"/>
            <wp:docPr id="3" name="Picture 3"/>
            <wp:cNvGraphicFramePr>
              <a:graphicFrameLocks noChangeAspect="1"/>
            </wp:cNvGraphicFramePr>
            <a:graphic>
              <a:graphicData uri="http://schemas.openxmlformats.org/drawingml/2006/picture">
                <pic:pic>
                  <pic:nvPicPr>
                    <pic:cNvPr id="0" name="03_hard_logout_lifecycle.png"/>
                    <pic:cNvPicPr/>
                  </pic:nvPicPr>
                  <pic:blipFill>
                    <a:blip r:embed="rId11"/>
                    <a:stretch>
                      <a:fillRect/>
                    </a:stretch>
                  </pic:blipFill>
                  <pic:spPr>
                    <a:xfrm>
                      <a:off x="0" y="0"/>
                      <a:ext cx="6217920" cy="3627120"/>
                    </a:xfrm>
                    <a:prstGeom prst="rect"/>
                  </pic:spPr>
                </pic:pic>
              </a:graphicData>
            </a:graphic>
          </wp:inline>
        </w:drawing>
      </w:r>
    </w:p>
    <w:p>
      <w:pPr>
        <w:jc w:val="center"/>
      </w:pPr>
      <w:r>
        <w:rPr>
          <w:i/>
          <w:color w:val="475569"/>
          <w:sz w:val="16"/>
        </w:rPr>
        <w:t>Canonical Hard Logout state/lifecycle diagram.</w:t>
      </w:r>
    </w:p>
    <w:p>
      <w:pPr>
        <w:pStyle w:val="Heading1"/>
      </w:pPr>
      <w:r>
        <w:t>5. Diagram usage rules</w:t>
      </w:r>
    </w:p>
    <w:p>
      <w:pPr>
        <w:pStyle w:val="ListBullet"/>
      </w:pPr>
      <w:r>
        <w:t>Do not replace these diagrams with ASCII/text arrows in final stakeholder documents.</w:t>
      </w:r>
    </w:p>
    <w:p>
      <w:pPr>
        <w:pStyle w:val="ListBullet"/>
      </w:pPr>
      <w:r>
        <w:t>Keep the Hard Logout boundary visually distinct whenever architecture is discussed.</w:t>
      </w:r>
    </w:p>
    <w:p>
      <w:pPr>
        <w:pStyle w:val="ListBullet"/>
      </w:pPr>
      <w:r>
        <w:t>Any future architecture change must update the source diagram and all dependent documentation.</w:t>
      </w:r>
    </w:p>
    <w:p>
      <w:pPr>
        <w:pStyle w:val="ListBullet"/>
      </w:pPr>
      <w:r>
        <w:t>Diagram labels must use the canonical terminology from the Master Documentation Index.</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