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46B96D">
      <w:pPr>
        <w:ind w:firstLine="643" w:firstLineChars="200"/>
        <w:rPr>
          <w:rFonts w:hint="eastAsia"/>
          <w:b/>
          <w:color w:val="auto"/>
          <w:szCs w:val="21"/>
        </w:rPr>
      </w:pPr>
      <w:r>
        <w:rPr>
          <w:rFonts w:hint="eastAsia"/>
          <w:b/>
          <w:color w:val="auto"/>
          <w:sz w:val="32"/>
          <w:szCs w:val="32"/>
        </w:rPr>
        <w:t>吉利学院20</w:t>
      </w:r>
      <w:r>
        <w:rPr>
          <w:rFonts w:hint="eastAsia"/>
          <w:b/>
          <w:color w:val="auto"/>
          <w:sz w:val="32"/>
          <w:szCs w:val="32"/>
          <w:lang w:val="en-US" w:eastAsia="zh-CN"/>
        </w:rPr>
        <w:t>25</w:t>
      </w:r>
      <w:r>
        <w:rPr>
          <w:rFonts w:hint="eastAsia"/>
          <w:b/>
          <w:color w:val="auto"/>
          <w:sz w:val="32"/>
          <w:szCs w:val="32"/>
        </w:rPr>
        <w:t>—20</w:t>
      </w:r>
      <w:r>
        <w:rPr>
          <w:rFonts w:hint="eastAsia"/>
          <w:b/>
          <w:color w:val="auto"/>
          <w:sz w:val="32"/>
          <w:szCs w:val="32"/>
          <w:lang w:val="en-US" w:eastAsia="zh-CN"/>
        </w:rPr>
        <w:t>26</w:t>
      </w:r>
      <w:r>
        <w:rPr>
          <w:rFonts w:hint="eastAsia"/>
          <w:b/>
          <w:color w:val="auto"/>
          <w:sz w:val="32"/>
          <w:szCs w:val="32"/>
        </w:rPr>
        <w:t>学年第</w:t>
      </w:r>
      <w:r>
        <w:rPr>
          <w:rFonts w:hint="eastAsia"/>
          <w:b/>
          <w:color w:val="auto"/>
          <w:sz w:val="32"/>
          <w:szCs w:val="32"/>
          <w:lang w:val="en-US" w:eastAsia="zh-CN"/>
        </w:rPr>
        <w:t>二</w:t>
      </w:r>
      <w:r>
        <w:rPr>
          <w:rFonts w:hint="eastAsia"/>
          <w:b/>
          <w:color w:val="auto"/>
          <w:sz w:val="32"/>
          <w:szCs w:val="32"/>
        </w:rPr>
        <w:t>学期期末考试</w:t>
      </w:r>
      <w:r>
        <w:rPr>
          <w:rFonts w:hint="eastAsia"/>
          <w:b/>
          <w:color w:val="auto"/>
          <w:sz w:val="24"/>
        </w:rPr>
        <w:t>（非试卷形式）</w:t>
      </w:r>
    </w:p>
    <w:p w14:paraId="1303E252">
      <w:pPr>
        <w:tabs>
          <w:tab w:val="left" w:pos="426"/>
        </w:tabs>
        <w:jc w:val="center"/>
        <w:rPr>
          <w:rFonts w:hint="eastAsia" w:ascii="宋体" w:hAnsi="宋体"/>
          <w:b/>
          <w:color w:val="auto"/>
          <w:sz w:val="36"/>
          <w:szCs w:val="36"/>
        </w:rPr>
      </w:pPr>
      <w:r>
        <w:rPr>
          <w:rFonts w:hint="eastAsia" w:ascii="宋体" w:hAnsi="宋体"/>
          <w:b/>
          <w:color w:val="auto"/>
          <w:sz w:val="36"/>
          <w:szCs w:val="36"/>
          <w:lang w:val="en-US" w:eastAsia="zh-CN"/>
        </w:rPr>
        <w:t xml:space="preserve">    </w:t>
      </w:r>
      <w:r>
        <w:rPr>
          <w:rFonts w:hint="eastAsia" w:ascii="宋体" w:hAnsi="宋体"/>
          <w:b/>
          <w:color w:val="auto"/>
          <w:sz w:val="36"/>
          <w:szCs w:val="36"/>
        </w:rPr>
        <w:t>《</w:t>
      </w:r>
      <w:r>
        <w:rPr>
          <w:rFonts w:hint="eastAsia" w:ascii="宋体" w:hAnsi="宋体"/>
          <w:b/>
          <w:color w:val="auto"/>
          <w:sz w:val="36"/>
          <w:szCs w:val="36"/>
          <w:lang w:val="en-US" w:eastAsia="zh-CN"/>
        </w:rPr>
        <w:t>自动驾驶软件系统B</w:t>
      </w:r>
      <w:r>
        <w:rPr>
          <w:rFonts w:hint="eastAsia" w:ascii="宋体" w:hAnsi="宋体"/>
          <w:b/>
          <w:color w:val="auto"/>
          <w:sz w:val="36"/>
          <w:szCs w:val="36"/>
        </w:rPr>
        <w:t>》评分表</w:t>
      </w:r>
    </w:p>
    <w:p w14:paraId="116907A8">
      <w:pPr>
        <w:tabs>
          <w:tab w:val="left" w:pos="426"/>
        </w:tabs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eastAsia="zh-CN"/>
        </w:rPr>
      </w:pP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</w:rPr>
        <w:sym w:font="Wingdings 2" w:char="0052"/>
      </w: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</w:rPr>
        <w:t xml:space="preserve">A卷  </w:t>
      </w: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</w:rPr>
        <w:sym w:font="Wingdings 2" w:char="00A3"/>
      </w: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</w:rPr>
        <w:t>B卷</w:t>
      </w:r>
      <w:r>
        <w:rPr>
          <w:rFonts w:hint="eastAsia" w:ascii="宋体" w:hAnsi="宋体" w:eastAsia="宋体" w:cs="宋体"/>
          <w:color w:val="auto"/>
          <w:kern w:val="0"/>
          <w:sz w:val="28"/>
          <w:szCs w:val="28"/>
          <w:highlight w:val="none"/>
          <w:lang w:eastAsia="zh-CN"/>
        </w:rPr>
        <w:t>）</w:t>
      </w:r>
    </w:p>
    <w:p w14:paraId="4C225780">
      <w:pPr>
        <w:tabs>
          <w:tab w:val="left" w:pos="426"/>
        </w:tabs>
        <w:jc w:val="center"/>
        <w:rPr>
          <w:rFonts w:hint="eastAsia" w:ascii="宋体" w:hAnsi="宋体" w:eastAsia="宋体" w:cs="宋体"/>
          <w:color w:val="auto"/>
          <w:kern w:val="0"/>
          <w:sz w:val="24"/>
          <w:szCs w:val="24"/>
          <w:highlight w:val="none"/>
          <w:lang w:eastAsia="zh-CN"/>
        </w:rPr>
      </w:pPr>
    </w:p>
    <w:p w14:paraId="11815FC1">
      <w:pPr>
        <w:rPr>
          <w:rFonts w:hint="eastAsia"/>
          <w:b/>
          <w:bCs/>
          <w:sz w:val="24"/>
          <w:u w:val="single"/>
          <w:lang w:val="en-US" w:eastAsia="zh-CN"/>
        </w:rPr>
      </w:pPr>
      <w:r>
        <w:rPr>
          <w:rFonts w:hint="eastAsia"/>
          <w:b/>
          <w:bCs/>
          <w:sz w:val="24"/>
        </w:rPr>
        <w:t>学院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  <w:lang w:val="en-US" w:eastAsia="zh-CN"/>
        </w:rPr>
        <w:t xml:space="preserve">                        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 xml:space="preserve">       </w:t>
      </w:r>
      <w:r>
        <w:rPr>
          <w:rFonts w:hint="eastAsia"/>
          <w:b/>
          <w:bCs/>
          <w:sz w:val="24"/>
        </w:rPr>
        <w:t>班级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  <w:lang w:val="en-US" w:eastAsia="zh-CN"/>
        </w:rPr>
        <w:t xml:space="preserve">                   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  <w:lang w:val="en-US" w:eastAsia="zh-CN"/>
        </w:rPr>
        <w:t xml:space="preserve"> </w:t>
      </w:r>
    </w:p>
    <w:p w14:paraId="03132584">
      <w:pPr>
        <w:rPr>
          <w:rFonts w:hint="eastAsia" w:ascii="Calibri" w:hAnsi="Calibri"/>
          <w:b/>
          <w:sz w:val="36"/>
          <w:szCs w:val="36"/>
        </w:rPr>
      </w:pPr>
      <w:r>
        <w:rPr>
          <w:rFonts w:hint="eastAsia"/>
          <w:b/>
          <w:bCs/>
          <w:sz w:val="24"/>
        </w:rPr>
        <w:t>姓名</w:t>
      </w:r>
      <w:r>
        <w:rPr>
          <w:rFonts w:hint="eastAsia"/>
          <w:b/>
          <w:bCs/>
          <w:sz w:val="24"/>
          <w:u w:val="single"/>
          <w:lang w:val="en-US" w:eastAsia="zh-CN"/>
        </w:rPr>
        <w:t xml:space="preserve">            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  <w:lang w:val="en-US" w:eastAsia="zh-CN"/>
        </w:rPr>
        <w:t xml:space="preserve">              </w:t>
      </w:r>
      <w:r>
        <w:rPr>
          <w:rFonts w:hint="eastAsia"/>
          <w:b/>
          <w:bCs/>
          <w:sz w:val="24"/>
          <w:u w:val="none"/>
          <w:lang w:val="en-US" w:eastAsia="zh-CN"/>
        </w:rPr>
        <w:t xml:space="preserve">       </w:t>
      </w:r>
      <w:r>
        <w:rPr>
          <w:rFonts w:hint="eastAsia"/>
          <w:b/>
          <w:bCs/>
          <w:sz w:val="24"/>
        </w:rPr>
        <w:t>学号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  <w:lang w:val="en-US" w:eastAsia="zh-CN"/>
        </w:rPr>
        <w:t xml:space="preserve">              </w: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rFonts w:hint="eastAsia"/>
          <w:b/>
          <w:bCs/>
          <w:sz w:val="24"/>
          <w:u w:val="single"/>
          <w:lang w:val="en-US" w:eastAsia="zh-CN"/>
        </w:rPr>
        <w:t xml:space="preserve">     </w:t>
      </w:r>
      <w:r>
        <w:rPr>
          <w:rFonts w:hint="eastAsia"/>
          <w:b/>
          <w:bCs/>
          <w:sz w:val="24"/>
          <w:u w:val="single"/>
        </w:rPr>
        <w:t xml:space="preserve"> </w:t>
      </w:r>
    </w:p>
    <w:p w14:paraId="6317F558">
      <w:pPr>
        <w:widowControl/>
        <w:ind w:firstLine="960" w:firstLineChars="400"/>
        <w:rPr>
          <w:szCs w:val="21"/>
        </w:rPr>
      </w:pPr>
      <w:r>
        <w:rPr>
          <w:rFonts w:hint="eastAsia" w:ascii="宋体" w:hAnsi="宋体" w:cs="宋体"/>
          <w:color w:val="000000"/>
          <w:kern w:val="0"/>
          <w:sz w:val="24"/>
        </w:rPr>
        <w:t xml:space="preserve"> </w:t>
      </w:r>
      <w:r>
        <w:rPr>
          <w:rFonts w:hint="eastAsia"/>
          <w:szCs w:val="21"/>
        </w:rPr>
        <w:t xml:space="preserve">  </w:t>
      </w:r>
    </w:p>
    <w:p w14:paraId="1F5115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964" w:firstLineChars="400"/>
        <w:textAlignment w:val="auto"/>
        <w:rPr>
          <w:rFonts w:hint="eastAsia" w:ascii="仿宋" w:hAnsi="仿宋" w:eastAsia="仿宋" w:cs="宋体"/>
          <w:color w:val="000000"/>
          <w:kern w:val="0"/>
          <w:sz w:val="24"/>
          <w:lang w:val="en-US" w:eastAsia="zh-CN"/>
        </w:rPr>
      </w:pPr>
      <w:r>
        <w:rPr>
          <w:rFonts w:hint="eastAsia" w:ascii="仿宋" w:hAnsi="仿宋" w:eastAsia="仿宋"/>
          <w:b/>
          <w:sz w:val="24"/>
        </w:rPr>
        <w:t>考试形式：</w:t>
      </w:r>
      <w:r>
        <w:rPr>
          <w:rFonts w:hint="eastAsia" w:ascii="仿宋" w:hAnsi="仿宋" w:eastAsia="仿宋" w:cs="宋体"/>
          <w:color w:val="000000"/>
          <w:kern w:val="0"/>
          <w:sz w:val="24"/>
        </w:rPr>
        <w:sym w:font="Wingdings 2" w:char="00A3"/>
      </w:r>
      <w:r>
        <w:rPr>
          <w:rFonts w:hint="eastAsia" w:ascii="仿宋" w:hAnsi="仿宋" w:eastAsia="仿宋" w:cs="宋体"/>
          <w:color w:val="000000"/>
          <w:kern w:val="0"/>
          <w:sz w:val="24"/>
          <w:lang w:val="en-US" w:eastAsia="zh-CN"/>
        </w:rPr>
        <w:t>撰写论文</w:t>
      </w:r>
      <w:r>
        <w:rPr>
          <w:rFonts w:hint="eastAsia" w:ascii="仿宋" w:hAnsi="仿宋" w:eastAsia="仿宋" w:cs="宋体"/>
          <w:color w:val="000000"/>
          <w:kern w:val="0"/>
          <w:sz w:val="24"/>
        </w:rPr>
        <w:t xml:space="preserve"> </w:t>
      </w:r>
      <w:r>
        <w:rPr>
          <w:rFonts w:ascii="仿宋" w:hAnsi="仿宋" w:eastAsia="仿宋" w:cs="宋体"/>
          <w:color w:val="000000"/>
          <w:kern w:val="0"/>
          <w:sz w:val="24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</w:rPr>
        <w:t>□作品</w:t>
      </w:r>
      <w:r>
        <w:rPr>
          <w:rFonts w:hint="eastAsia" w:ascii="仿宋" w:hAnsi="仿宋" w:eastAsia="仿宋" w:cs="宋体"/>
          <w:color w:val="000000"/>
          <w:kern w:val="0"/>
          <w:sz w:val="24"/>
          <w:lang w:val="en-US" w:eastAsia="zh-CN"/>
        </w:rPr>
        <w:t xml:space="preserve">设计  </w:t>
      </w:r>
      <w:r>
        <w:rPr>
          <w:rFonts w:hint="eastAsia" w:ascii="仿宋" w:hAnsi="仿宋" w:eastAsia="仿宋" w:cs="宋体"/>
          <w:color w:val="000000"/>
          <w:kern w:val="0"/>
          <w:sz w:val="24"/>
        </w:rPr>
        <w:t xml:space="preserve">□机考  □口试 </w:t>
      </w:r>
      <w:r>
        <w:rPr>
          <w:rFonts w:ascii="仿宋" w:hAnsi="仿宋" w:eastAsia="仿宋" w:cs="宋体"/>
          <w:color w:val="000000"/>
          <w:kern w:val="0"/>
          <w:sz w:val="24"/>
        </w:rPr>
        <w:t xml:space="preserve"> </w:t>
      </w:r>
      <w:r>
        <w:rPr>
          <w:rFonts w:hint="eastAsia" w:ascii="仿宋" w:hAnsi="仿宋" w:eastAsia="仿宋" w:cs="宋体"/>
          <w:color w:val="000000"/>
          <w:kern w:val="0"/>
          <w:sz w:val="24"/>
        </w:rPr>
        <w:t>□</w:t>
      </w:r>
      <w:r>
        <w:rPr>
          <w:rFonts w:hint="eastAsia" w:ascii="仿宋" w:hAnsi="仿宋" w:eastAsia="仿宋" w:cs="宋体"/>
          <w:color w:val="000000"/>
          <w:kern w:val="0"/>
          <w:sz w:val="24"/>
          <w:lang w:val="en-US" w:eastAsia="zh-CN"/>
        </w:rPr>
        <w:t>技能操作</w:t>
      </w:r>
    </w:p>
    <w:p w14:paraId="7F7D85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960" w:firstLineChars="400"/>
        <w:textAlignment w:val="auto"/>
        <w:rPr>
          <w:rFonts w:ascii="仿宋" w:hAnsi="仿宋" w:eastAsia="仿宋" w:cs="宋体"/>
          <w:color w:val="000000"/>
          <w:kern w:val="0"/>
          <w:sz w:val="24"/>
        </w:rPr>
      </w:pPr>
      <w:r>
        <w:rPr>
          <w:rFonts w:hint="eastAsia" w:ascii="仿宋" w:hAnsi="仿宋" w:eastAsia="仿宋" w:cs="宋体"/>
          <w:color w:val="000000"/>
          <w:kern w:val="0"/>
          <w:sz w:val="24"/>
        </w:rPr>
        <w:t xml:space="preserve"> </w:t>
      </w:r>
      <w:r>
        <w:rPr>
          <w:rFonts w:ascii="仿宋" w:hAnsi="仿宋" w:eastAsia="仿宋" w:cs="宋体"/>
          <w:color w:val="000000"/>
          <w:kern w:val="0"/>
          <w:sz w:val="24"/>
        </w:rPr>
        <w:t xml:space="preserve"> </w:t>
      </w:r>
    </w:p>
    <w:p w14:paraId="56064C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ind w:firstLine="2160" w:firstLineChars="900"/>
        <w:textAlignment w:val="auto"/>
        <w:rPr>
          <w:rFonts w:hint="default" w:ascii="仿宋" w:hAnsi="仿宋" w:eastAsia="仿宋"/>
          <w:sz w:val="24"/>
          <w:lang w:val="en-US" w:eastAsia="zh-CN"/>
        </w:rPr>
      </w:pPr>
      <w:r>
        <w:rPr>
          <w:rFonts w:hint="eastAsia" w:ascii="仿宋" w:hAnsi="仿宋" w:eastAsia="仿宋" w:cs="宋体"/>
          <w:color w:val="000000"/>
          <w:kern w:val="0"/>
          <w:sz w:val="24"/>
        </w:rPr>
        <w:t xml:space="preserve">□课程报告  </w:t>
      </w:r>
      <w:r>
        <w:rPr>
          <w:rFonts w:hint="eastAsia" w:ascii="仿宋" w:hAnsi="仿宋" w:eastAsia="仿宋" w:cs="宋体"/>
          <w:color w:val="000000"/>
          <w:kern w:val="0"/>
          <w:sz w:val="24"/>
          <w:lang w:eastAsia="zh-CN"/>
        </w:rPr>
        <w:t>□</w:t>
      </w:r>
      <w:r>
        <w:rPr>
          <w:rFonts w:hint="eastAsia" w:ascii="仿宋" w:hAnsi="仿宋" w:eastAsia="仿宋" w:cs="宋体"/>
          <w:color w:val="000000"/>
          <w:kern w:val="0"/>
          <w:sz w:val="24"/>
        </w:rPr>
        <w:t xml:space="preserve">课程设计  □实验  </w:t>
      </w:r>
      <w:r>
        <w:rPr>
          <w:rFonts w:hint="eastAsia" w:ascii="仿宋" w:hAnsi="仿宋" w:eastAsia="仿宋" w:cs="宋体"/>
          <w:color w:val="000000"/>
          <w:kern w:val="0"/>
          <w:sz w:val="24"/>
          <w:lang w:eastAsia="zh-CN"/>
        </w:rPr>
        <w:t>☑</w:t>
      </w:r>
      <w:r>
        <w:rPr>
          <w:rFonts w:hint="eastAsia" w:ascii="仿宋" w:hAnsi="仿宋" w:eastAsia="仿宋" w:cs="宋体"/>
          <w:color w:val="000000"/>
          <w:kern w:val="0"/>
          <w:sz w:val="24"/>
        </w:rPr>
        <w:t>其他</w:t>
      </w:r>
      <w:r>
        <w:rPr>
          <w:rFonts w:ascii="仿宋" w:hAnsi="仿宋" w:eastAsia="仿宋" w:cs="宋体"/>
          <w:color w:val="000000"/>
          <w:kern w:val="0"/>
          <w:sz w:val="24"/>
        </w:rPr>
        <w:t>：</w:t>
      </w:r>
      <w:r>
        <w:rPr>
          <w:rFonts w:hint="eastAsia" w:ascii="仿宋" w:hAnsi="仿宋" w:eastAsia="仿宋" w:cs="宋体"/>
          <w:color w:val="000000"/>
          <w:kern w:val="0"/>
          <w:sz w:val="24"/>
          <w:u w:val="single"/>
          <w:lang w:val="en-US" w:eastAsia="zh-CN"/>
        </w:rPr>
        <w:t>项目+汇报答辩</w:t>
      </w:r>
    </w:p>
    <w:tbl>
      <w:tblPr>
        <w:tblStyle w:val="5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5811"/>
        <w:gridCol w:w="709"/>
        <w:gridCol w:w="901"/>
      </w:tblGrid>
      <w:tr w14:paraId="2812A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1" w:type="dxa"/>
            <w:noWrap w:val="0"/>
            <w:vAlign w:val="center"/>
          </w:tcPr>
          <w:p w14:paraId="7D01E83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考核题目</w:t>
            </w:r>
          </w:p>
        </w:tc>
        <w:tc>
          <w:tcPr>
            <w:tcW w:w="7421" w:type="dxa"/>
            <w:gridSpan w:val="3"/>
            <w:noWrap w:val="0"/>
            <w:vAlign w:val="center"/>
          </w:tcPr>
          <w:p w14:paraId="4108C0A0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基于CARLA的自动驾驶安全竞速挑战</w:t>
            </w:r>
          </w:p>
        </w:tc>
      </w:tr>
      <w:tr w14:paraId="7BD3D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1" w:type="dxa"/>
            <w:noWrap w:val="0"/>
            <w:vAlign w:val="center"/>
          </w:tcPr>
          <w:p w14:paraId="1D850484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序号</w:t>
            </w:r>
          </w:p>
        </w:tc>
        <w:tc>
          <w:tcPr>
            <w:tcW w:w="5811" w:type="dxa"/>
            <w:noWrap w:val="0"/>
            <w:vAlign w:val="center"/>
          </w:tcPr>
          <w:p w14:paraId="0B7E1389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考核内容</w:t>
            </w: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highlight w:val="none"/>
              </w:rPr>
              <w:t>（评分细则）</w:t>
            </w:r>
          </w:p>
        </w:tc>
        <w:tc>
          <w:tcPr>
            <w:tcW w:w="709" w:type="dxa"/>
            <w:noWrap w:val="0"/>
            <w:vAlign w:val="center"/>
          </w:tcPr>
          <w:p w14:paraId="2550172A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分值</w:t>
            </w:r>
          </w:p>
        </w:tc>
        <w:tc>
          <w:tcPr>
            <w:tcW w:w="901" w:type="dxa"/>
            <w:noWrap w:val="0"/>
            <w:vAlign w:val="center"/>
          </w:tcPr>
          <w:p w14:paraId="26DC367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得分</w:t>
            </w:r>
          </w:p>
        </w:tc>
      </w:tr>
      <w:tr w14:paraId="590E7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1" w:type="dxa"/>
            <w:noWrap w:val="0"/>
            <w:vAlign w:val="center"/>
          </w:tcPr>
          <w:p w14:paraId="28D9D54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1</w:t>
            </w:r>
          </w:p>
        </w:tc>
        <w:tc>
          <w:tcPr>
            <w:tcW w:w="5811" w:type="dxa"/>
            <w:noWrap w:val="0"/>
            <w:vAlign w:val="top"/>
          </w:tcPr>
          <w:p w14:paraId="2E763FEB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40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</w:rPr>
            </w:pPr>
            <w:r>
              <w:rPr>
                <w:rFonts w:hint="eastAsia" w:ascii="仿宋" w:hAnsi="仿宋" w:eastAsia="仿宋" w:cs="仿宋"/>
                <w:b/>
                <w:bCs/>
                <w:lang w:val="en-US" w:eastAsia="zh-CN"/>
              </w:rPr>
              <w:t>系统功能设计与实现</w:t>
            </w:r>
          </w:p>
          <w:p w14:paraId="5A95B935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33—40分：在教师统一模板基础上完整实现固定地图外圈安全竞速系统，主车可按路线稳定完成一圈；个人新增的控制策略、速度控制、红灯处理、避障或风险判断有效；同步计时、完赛判定、事件监测、扣分规则和挑战成绩计算均正确；碰撞车辆/行人、闯红灯、偏离路线、车道入侵、超速、停滞等关键事件日志完整；至少两次有效运行结果可对比，能体现速度与安全约束。</w:t>
            </w:r>
          </w:p>
          <w:p w14:paraId="033CFA99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24—32分：完成主要功能，能够在统一模板场景中运行并输出完赛时间、事件日志和成绩结果；个人策略有一定效果，但部分监测项或控制策略不够完善，例如红灯处理不稳定、避障能力较弱、路线完成度判定较简单、复盘证据不足，整体不影响项目成立。</w:t>
            </w:r>
          </w:p>
          <w:p w14:paraId="3C1F071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12—23分：只完成部分功能或系统闭环不完整，例如主要依赖模板默认行为，个人新增功能较少；能运行主车但不能稳定完成一圈，或只有简单计时缺少有效违规检测、扣分明细和复盘证据；需要较多人工干预。</w:t>
            </w:r>
          </w:p>
          <w:p w14:paraId="7EE35BDC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8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0—11分：未形成可运行系统，固定场景、外圈路线、完赛判定、事件监测或成绩计算等核心功能缺失或错误；擅自删除模板约束、修改固定地图/路线/车辆行人数量或绕过检测逻辑，提交结果无法用于评价。</w:t>
            </w:r>
          </w:p>
        </w:tc>
        <w:tc>
          <w:tcPr>
            <w:tcW w:w="709" w:type="dxa"/>
            <w:noWrap w:val="0"/>
            <w:vAlign w:val="center"/>
          </w:tcPr>
          <w:p w14:paraId="2F085C1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40</w:t>
            </w:r>
          </w:p>
        </w:tc>
        <w:tc>
          <w:tcPr>
            <w:tcW w:w="901" w:type="dxa"/>
            <w:noWrap w:val="0"/>
            <w:vAlign w:val="top"/>
          </w:tcPr>
          <w:p w14:paraId="211A79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</w:p>
        </w:tc>
      </w:tr>
      <w:tr w14:paraId="43513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1" w:type="dxa"/>
            <w:noWrap w:val="0"/>
            <w:vAlign w:val="center"/>
          </w:tcPr>
          <w:p w14:paraId="3D4E412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2</w:t>
            </w:r>
          </w:p>
        </w:tc>
        <w:tc>
          <w:tcPr>
            <w:tcW w:w="5811" w:type="dxa"/>
            <w:noWrap w:val="0"/>
            <w:vAlign w:val="top"/>
          </w:tcPr>
          <w:p w14:paraId="359B59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工程规范与模板扩展</w:t>
            </w:r>
          </w:p>
          <w:p w14:paraId="64B020E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24—30分：代码结构清晰，能在保留教师模板公平约束的基础上进行模块化扩展；个人新增代码职责明确，配置管理、车辆控制、路线检查、事件检测、成绩计算、文件输出和资源清理划分合理；README、依赖与运行步骤完整；模板参数、个人参数、随机种子、同步步长和日志字段设置规范；异常处理较完善。</w:t>
            </w:r>
          </w:p>
          <w:p w14:paraId="1D31D6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17—23分：代码整体可读，主要模块划分基本合理，能说明哪些部分来自模板、哪些部分为个人新增；运行说明和输出说明较完整；能复现主要结果，但配置管理、错误提示、资源清理、日志字段规范或跨机器运行说明仍有不足。</w:t>
            </w:r>
          </w:p>
          <w:p w14:paraId="62E9EF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9—16分：代码组织一般，对模板代码改动边界说明不清，重复代码较多，依赖说明、运行步骤或参数说明不充分；结果复现依赖人工操作，异常处理薄弱，日志格式不够规范。</w:t>
            </w:r>
          </w:p>
          <w:p w14:paraId="414DA1D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0—8分：代码</w:t>
            </w:r>
            <w:bookmarkStart w:id="1" w:name="_GoBack"/>
            <w:bookmarkEnd w:id="1"/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混乱或缺少关键文件，不能区分模板代码和个人新增内容；依赖不清，运行失败后难以定位，无法稳定复现，或存在破坏统一模板公平性的修改。</w:t>
            </w:r>
          </w:p>
        </w:tc>
        <w:tc>
          <w:tcPr>
            <w:tcW w:w="709" w:type="dxa"/>
            <w:noWrap w:val="0"/>
            <w:vAlign w:val="center"/>
          </w:tcPr>
          <w:p w14:paraId="12514B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30</w:t>
            </w:r>
          </w:p>
        </w:tc>
        <w:tc>
          <w:tcPr>
            <w:tcW w:w="901" w:type="dxa"/>
            <w:noWrap w:val="0"/>
            <w:vAlign w:val="top"/>
          </w:tcPr>
          <w:p w14:paraId="7BBF46F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</w:p>
        </w:tc>
      </w:tr>
      <w:tr w14:paraId="43BA3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1" w:type="dxa"/>
            <w:noWrap w:val="0"/>
            <w:vAlign w:val="center"/>
          </w:tcPr>
          <w:p w14:paraId="539C69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3</w:t>
            </w:r>
          </w:p>
        </w:tc>
        <w:tc>
          <w:tcPr>
            <w:tcW w:w="5811" w:type="dxa"/>
            <w:noWrap w:val="0"/>
            <w:vAlign w:val="top"/>
          </w:tcPr>
          <w:p w14:paraId="50B3C0E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报告与数据分析质量</w:t>
            </w:r>
          </w:p>
          <w:p w14:paraId="5EEA51D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16—20分：报告结构完整、图文并茂，能清楚说明任务需求、统一模板提供内容、个人新增功能、总体设计、固定地图与路线、交通参与者配置、完赛判定、事件阈值、扣分规则、挑战成绩公式、关键代码和输出文件；对至少两次运行的完赛时间、速度、违规次数、扣分明细和最终成绩进行数据化分析，并能说明个人策略在速度与安全之间的取舍和改进方向。</w:t>
            </w:r>
          </w:p>
          <w:p w14:paraId="055D036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）11—15分：报告较完整，能够说明主要设计与实现过程，有数据表、截图或图表支撑结论；能区分模板内容与个人工作，运行结果和违规扣分分析基本合理，但对异常、局限或改进讨论较简略。</w:t>
            </w:r>
          </w:p>
        </w:tc>
        <w:tc>
          <w:tcPr>
            <w:tcW w:w="709" w:type="dxa"/>
            <w:noWrap w:val="0"/>
            <w:vAlign w:val="center"/>
          </w:tcPr>
          <w:p w14:paraId="1BAF537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20</w:t>
            </w:r>
          </w:p>
        </w:tc>
        <w:tc>
          <w:tcPr>
            <w:tcW w:w="901" w:type="dxa"/>
            <w:noWrap w:val="0"/>
            <w:vAlign w:val="top"/>
          </w:tcPr>
          <w:p w14:paraId="71DEC3C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</w:p>
        </w:tc>
      </w:tr>
      <w:tr w14:paraId="52D0E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1" w:type="dxa"/>
            <w:noWrap w:val="0"/>
            <w:vAlign w:val="center"/>
          </w:tcPr>
          <w:p w14:paraId="6E7240A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</w:p>
        </w:tc>
        <w:tc>
          <w:tcPr>
            <w:tcW w:w="5811" w:type="dxa"/>
            <w:noWrap w:val="0"/>
            <w:vAlign w:val="top"/>
          </w:tcPr>
          <w:p w14:paraId="656734D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）6—10分：报告有基本内容，但结构不完整或证据不足；模板与个人工作边界不清，数据分析较浅，主要停留在结果罗列，难以体现扣分依据、路线复盘和策略改进过程。</w:t>
            </w:r>
          </w:p>
          <w:p w14:paraId="3831A9C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sz w:val="21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）0—5分：报告内容严重不足或格式杂乱，缺少关键过程、个人修改说明、日志说明、成绩依据和测试证据，无法体现项目完成情况。</w:t>
            </w:r>
          </w:p>
        </w:tc>
        <w:tc>
          <w:tcPr>
            <w:tcW w:w="709" w:type="dxa"/>
            <w:noWrap w:val="0"/>
            <w:vAlign w:val="center"/>
          </w:tcPr>
          <w:p w14:paraId="46F0CD3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</w:pPr>
          </w:p>
        </w:tc>
        <w:tc>
          <w:tcPr>
            <w:tcW w:w="901" w:type="dxa"/>
            <w:noWrap w:val="0"/>
            <w:vAlign w:val="top"/>
          </w:tcPr>
          <w:p w14:paraId="4629E23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</w:p>
        </w:tc>
      </w:tr>
      <w:tr w14:paraId="59D31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51" w:type="dxa"/>
            <w:noWrap w:val="0"/>
            <w:vAlign w:val="center"/>
          </w:tcPr>
          <w:p w14:paraId="20CFC4E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4</w:t>
            </w:r>
          </w:p>
        </w:tc>
        <w:tc>
          <w:tcPr>
            <w:tcW w:w="5811" w:type="dxa"/>
            <w:noWrap w:val="0"/>
            <w:vAlign w:val="top"/>
          </w:tcPr>
          <w:p w14:paraId="3881E1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center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展示答辩与个人说明</w:t>
            </w:r>
          </w:p>
          <w:p w14:paraId="64C6C6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8—10分：演示过程清晰流畅，能现场运行教师统一模板主程序，完整展示“统一模板启动→个人策略运行→外圈行驶→事件监测→自动扣分→成绩复盘”的流程；能准确解释本人新增模块、关键代码、控制策略、事件阈值、扣分规则和结果结论。</w:t>
            </w:r>
          </w:p>
          <w:p w14:paraId="422678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5—7分：演示与讲解基本完整，偶有卡顿或需简单调试；能说明本人主要修改内容并回答大部分问题，对关键实现和结果的解释基本合理。</w:t>
            </w:r>
          </w:p>
          <w:p w14:paraId="1987ED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400" w:lineRule="exact"/>
              <w:jc w:val="both"/>
              <w:textAlignment w:val="auto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eastAsia="zh-CN"/>
              </w:rPr>
              <w:t>）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0—4分：演示失败且无法定位问题，讲解逻辑混乱或答非所问；无法说明本人新增内容、系统原理、实现流程和实验结果。</w:t>
            </w:r>
          </w:p>
        </w:tc>
        <w:tc>
          <w:tcPr>
            <w:tcW w:w="709" w:type="dxa"/>
            <w:noWrap w:val="0"/>
            <w:vAlign w:val="center"/>
          </w:tcPr>
          <w:p w14:paraId="5AD245E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  <w:lang w:val="en-US" w:eastAsia="zh-CN"/>
              </w:rPr>
              <w:t>10</w:t>
            </w:r>
          </w:p>
        </w:tc>
        <w:tc>
          <w:tcPr>
            <w:tcW w:w="901" w:type="dxa"/>
            <w:noWrap w:val="0"/>
            <w:vAlign w:val="top"/>
          </w:tcPr>
          <w:p w14:paraId="2BA9A77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</w:p>
        </w:tc>
      </w:tr>
      <w:tr w14:paraId="29EBB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6662" w:type="dxa"/>
            <w:gridSpan w:val="2"/>
            <w:noWrap w:val="0"/>
            <w:vAlign w:val="center"/>
          </w:tcPr>
          <w:p w14:paraId="6DA0A69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总 分</w:t>
            </w:r>
          </w:p>
        </w:tc>
        <w:tc>
          <w:tcPr>
            <w:tcW w:w="709" w:type="dxa"/>
            <w:noWrap w:val="0"/>
            <w:vAlign w:val="center"/>
          </w:tcPr>
          <w:p w14:paraId="518FB85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100</w:t>
            </w:r>
          </w:p>
        </w:tc>
        <w:tc>
          <w:tcPr>
            <w:tcW w:w="901" w:type="dxa"/>
            <w:noWrap w:val="0"/>
            <w:vAlign w:val="center"/>
          </w:tcPr>
          <w:p w14:paraId="6AF69120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</w:p>
        </w:tc>
      </w:tr>
      <w:tr w14:paraId="7B758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8272" w:type="dxa"/>
            <w:gridSpan w:val="4"/>
            <w:noWrap w:val="0"/>
            <w:vAlign w:val="top"/>
          </w:tcPr>
          <w:p w14:paraId="4591D044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备注：</w:t>
            </w: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highlight w:val="none"/>
                <w:lang w:val="en-US" w:eastAsia="zh-CN"/>
              </w:rPr>
              <w:br w:type="textWrapping"/>
            </w:r>
          </w:p>
          <w:p w14:paraId="4A6B9AFA">
            <w:pPr>
              <w:ind w:firstLine="4200" w:firstLineChars="1750"/>
              <w:jc w:val="left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>教师签字：</w:t>
            </w:r>
          </w:p>
          <w:p w14:paraId="301F615E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24"/>
              </w:rPr>
              <w:t xml:space="preserve">                                                      年   月   日</w:t>
            </w:r>
          </w:p>
        </w:tc>
      </w:tr>
    </w:tbl>
    <w:p w14:paraId="61F35006">
      <w:pPr>
        <w:jc w:val="left"/>
        <w:rPr>
          <w:rFonts w:hint="eastAsia" w:ascii="仿宋" w:hAnsi="仿宋" w:eastAsia="仿宋"/>
          <w:b/>
          <w:bCs/>
          <w:color w:val="auto"/>
          <w:sz w:val="24"/>
        </w:rPr>
      </w:pPr>
      <w:r>
        <w:rPr>
          <w:rFonts w:hint="eastAsia" w:ascii="仿宋" w:hAnsi="仿宋" w:eastAsia="仿宋"/>
          <w:b/>
          <w:bCs/>
          <w:color w:val="auto"/>
          <w:sz w:val="24"/>
        </w:rPr>
        <w:t>说明：</w:t>
      </w:r>
    </w:p>
    <w:p w14:paraId="7F575AC2">
      <w:pPr>
        <w:jc w:val="left"/>
        <w:rPr>
          <w:rFonts w:ascii="仿宋" w:hAnsi="仿宋" w:eastAsia="仿宋"/>
          <w:bCs/>
          <w:color w:val="auto"/>
          <w:sz w:val="24"/>
        </w:rPr>
      </w:pPr>
      <w:r>
        <w:rPr>
          <w:rFonts w:hint="eastAsia" w:ascii="仿宋" w:hAnsi="仿宋" w:eastAsia="仿宋"/>
          <w:bCs/>
          <w:color w:val="auto"/>
          <w:sz w:val="24"/>
        </w:rPr>
        <w:t>1．此评分表每个学生一份，</w:t>
      </w:r>
      <w:r>
        <w:rPr>
          <w:rFonts w:hint="eastAsia" w:ascii="仿宋" w:hAnsi="仿宋" w:eastAsia="仿宋"/>
          <w:bCs/>
          <w:color w:val="auto"/>
          <w:sz w:val="24"/>
          <w:lang w:val="en-US" w:eastAsia="zh-CN"/>
        </w:rPr>
        <w:t>随课程考核资料</w:t>
      </w:r>
      <w:r>
        <w:rPr>
          <w:rFonts w:hint="eastAsia" w:ascii="仿宋" w:hAnsi="仿宋" w:eastAsia="仿宋"/>
          <w:bCs/>
          <w:color w:val="auto"/>
          <w:sz w:val="24"/>
        </w:rPr>
        <w:t>存档。</w:t>
      </w:r>
    </w:p>
    <w:p w14:paraId="189C750D">
      <w:pPr>
        <w:jc w:val="left"/>
        <w:rPr>
          <w:rFonts w:ascii="仿宋" w:hAnsi="仿宋" w:eastAsia="仿宋"/>
          <w:bCs/>
          <w:color w:val="auto"/>
          <w:sz w:val="24"/>
        </w:rPr>
      </w:pPr>
      <w:r>
        <w:rPr>
          <w:rFonts w:hint="eastAsia" w:ascii="仿宋" w:hAnsi="仿宋" w:eastAsia="仿宋"/>
          <w:bCs/>
          <w:color w:val="auto"/>
          <w:sz w:val="24"/>
        </w:rPr>
        <w:t>2．任课教师可根据课程考核需要调整评分表，考核内容及分值可机打。</w:t>
      </w:r>
    </w:p>
    <w:p w14:paraId="54DF81E3">
      <w:pPr>
        <w:jc w:val="left"/>
        <w:rPr>
          <w:rFonts w:ascii="仿宋" w:hAnsi="仿宋" w:eastAsia="仿宋"/>
          <w:bCs/>
          <w:color w:val="auto"/>
          <w:sz w:val="24"/>
        </w:rPr>
      </w:pPr>
      <w:r>
        <w:rPr>
          <w:rFonts w:hint="eastAsia" w:ascii="仿宋" w:hAnsi="仿宋" w:eastAsia="仿宋"/>
          <w:bCs/>
          <w:color w:val="auto"/>
          <w:sz w:val="24"/>
        </w:rPr>
        <w:t>3</w:t>
      </w:r>
      <w:bookmarkStart w:id="0" w:name="_Hlk101128898"/>
      <w:r>
        <w:rPr>
          <w:rFonts w:hint="eastAsia" w:ascii="仿宋" w:hAnsi="仿宋" w:eastAsia="仿宋"/>
          <w:bCs/>
          <w:color w:val="auto"/>
          <w:sz w:val="24"/>
        </w:rPr>
        <w:t>．“得分”栏要求用红笔填写</w:t>
      </w:r>
      <w:bookmarkEnd w:id="0"/>
      <w:r>
        <w:rPr>
          <w:rFonts w:hint="eastAsia" w:ascii="仿宋" w:hAnsi="仿宋" w:eastAsia="仿宋"/>
          <w:bCs/>
          <w:color w:val="auto"/>
          <w:sz w:val="24"/>
        </w:rPr>
        <w:t>，“教师签字”用</w:t>
      </w:r>
      <w:r>
        <w:rPr>
          <w:rFonts w:hint="eastAsia" w:ascii="仿宋" w:hAnsi="仿宋" w:eastAsia="仿宋"/>
          <w:color w:val="auto"/>
          <w:szCs w:val="21"/>
        </w:rPr>
        <w:t>红笔</w:t>
      </w:r>
      <w:r>
        <w:rPr>
          <w:rFonts w:hint="eastAsia" w:ascii="仿宋" w:hAnsi="仿宋" w:eastAsia="仿宋"/>
          <w:bCs/>
          <w:color w:val="auto"/>
          <w:sz w:val="24"/>
        </w:rPr>
        <w:t>填写。</w:t>
      </w:r>
    </w:p>
    <w:p w14:paraId="444F6478">
      <w:pPr>
        <w:jc w:val="left"/>
        <w:rPr>
          <w:rFonts w:hint="eastAsia" w:ascii="仿宋" w:hAnsi="仿宋" w:eastAsia="仿宋"/>
          <w:bCs/>
          <w:color w:val="auto"/>
          <w:sz w:val="24"/>
        </w:rPr>
      </w:pPr>
      <w:r>
        <w:rPr>
          <w:rFonts w:ascii="仿宋" w:hAnsi="仿宋" w:eastAsia="仿宋"/>
          <w:bCs/>
          <w:color w:val="auto"/>
          <w:sz w:val="24"/>
        </w:rPr>
        <w:t>4</w:t>
      </w:r>
      <w:r>
        <w:rPr>
          <w:rFonts w:hint="eastAsia" w:ascii="仿宋" w:hAnsi="仿宋" w:eastAsia="仿宋"/>
          <w:bCs/>
          <w:color w:val="auto"/>
          <w:sz w:val="24"/>
        </w:rPr>
        <w:t>．“备注”栏是否填写评语由教研室根据课程要求确定，可手写也可打印。</w:t>
      </w:r>
    </w:p>
    <w:p w14:paraId="0655B9FF"/>
    <w:sectPr>
      <w:headerReference r:id="rId3" w:type="default"/>
      <w:footerReference r:id="rId4" w:type="default"/>
      <w:pgSz w:w="11906" w:h="16838"/>
      <w:pgMar w:top="1418" w:right="1134" w:bottom="1418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C7E209F8-E22F-4367-AC28-D3EF588E3B95}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  <w:embedRegular r:id="rId2" w:fontKey="{90F00D0C-FA2E-48C5-AE59-09A6E43B7A99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543711A4-FBD9-4EAE-A944-358129E7663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6ECFE8">
    <w:pPr>
      <w:pStyle w:val="2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183435">
    <w:pPr>
      <w:pStyle w:val="3"/>
      <w:pBdr>
        <w:bottom w:val="none" w:color="auto" w:sz="0" w:space="0"/>
      </w:pBdr>
      <w:ind w:firstLine="900" w:firstLineChars="500"/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D0ED3"/>
    <w:rsid w:val="1C2D50A0"/>
    <w:rsid w:val="2E993077"/>
    <w:rsid w:val="444D332A"/>
    <w:rsid w:val="44E142DE"/>
    <w:rsid w:val="4A7C29F5"/>
    <w:rsid w:val="60932FCA"/>
    <w:rsid w:val="76671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1809</Words>
  <Characters>1850</Characters>
  <Lines>0</Lines>
  <Paragraphs>0</Paragraphs>
  <TotalTime>1</TotalTime>
  <ScaleCrop>false</ScaleCrop>
  <LinksUpToDate>false</LinksUpToDate>
  <CharactersWithSpaces>1991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2026-05-31T05:02:00Z</dcterms:created>
  <dc:creator>Administrator</dc:creator>
  <cp:lastModifiedBy>阿牛</cp:lastModifiedBy>
  <dcterms:modified xsi:type="dcterms:W3CDTF">2026-05-31T08:56:50Z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eyJoZGlkIjoiYThiMmExZjA4MmU1YWJjYTY2OGNjNDZmZDRmZWE4YmYiLCJ1c2VySWQiOiI3MjYxOTQ2OTMifQ==</vt:lpwstr>
  </property>
  <property fmtid="{D5CDD505-2E9C-101B-9397-08002B2CF9AE}" pid="4" name="ICV">
    <vt:lpwstr>03101F9CB562421E8166F1E15B051332_12</vt:lpwstr>
  </property>
</Properties>
</file>