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endnotes.xml" ContentType="application/vnd.openxmlformats-officedocument.wordprocessingml.endnotes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САНКТ-ПЕТЕРБУРГСКИЙ ГОСУДАРСТВЕННЫЙ УНИВЕРСИТЕТ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Направление: 02.03.02 «Фундаментальная информатика и информационные технологии»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ООП: Большие данные и распределенная цифровая платформа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О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ru-RU"/>
        </w:rPr>
        <w:t xml:space="preserve">ТЧЕТ О НАУЧНО-ИССЛЕДОВАТЕЛЬСКОЙ РАБОТЕ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Тема: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 xml:space="preserve">Распределенный инференс глубоких нейросетевых моделей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tbl>
      <w:tblPr>
        <w:tblStyle w:val="930"/>
        <w:tblW w:w="9354" w:type="dxa"/>
        <w:tblBorders/>
        <w:tblLayout w:type="fixed"/>
        <w:tblLook w:val="0600" w:firstRow="0" w:lastRow="0" w:firstColumn="0" w:lastColumn="0" w:noHBand="1" w:noVBand="1"/>
      </w:tblPr>
      <w:tblGrid>
        <w:gridCol w:w="4677"/>
        <w:gridCol w:w="4677"/>
      </w:tblGrid>
      <w:tr>
        <w:trPr>
          <w:cantSplit/>
        </w:trPr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rtl w:val="0"/>
              </w:rPr>
              <w:t xml:space="preserve">Выполнил:                                  ___________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Колосков Виктор Юрьевич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Учебная группа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22Б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15-пу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rtl w:val="0"/>
              </w:rPr>
              <w:t xml:space="preserve">Научный руководитель:         ____________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Першин Антон Юрьевич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Должность: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доцент кафедры фундаментальной информатики и информационных систем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Ученая степень: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  <w:rtl w:val="0"/>
              </w:rPr>
              <w:t xml:space="preserve">Ph. D.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rtl w:val="0"/>
              </w:rPr>
              <w:t xml:space="preserve">Председатель комиссии:         ____________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Утешев Алексей Юрьевич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Должность: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профессор, заведующий кафедрой фундаментальной информатики и распределенных систем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cantSplit/>
        </w:trPr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rtl w:val="0"/>
              </w:rPr>
              <w:t xml:space="preserve">Ученая степень: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-70" w:type="dxa"/>
              <w:top w:w="-70" w:type="dxa"/>
              <w:right w:w="-70" w:type="dxa"/>
              <w:bottom w:w="-70" w:type="dxa"/>
            </w:tcMar>
            <w:vAlign w:val="top"/>
            <w:textDirection w:val="lrTb"/>
            <w:noWrap w:val="false"/>
          </w:tcPr>
          <w:p>
            <w:pPr>
              <w:pBdr/>
              <w:spacing w:after="0" w:line="276" w:lineRule="auto"/>
              <w:ind/>
              <w:jc w:val="righ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u w:val="single"/>
                <w:rtl w:val="0"/>
              </w:rPr>
              <w:t xml:space="preserve">Доктор физико-математических наук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Санкт-Петербург 2025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СОДЕРЖАНИЕ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sdtPr>
      <w:sdtContent>
        <w:p>
          <w:pPr>
            <w:pStyle w:val="914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/>
              <w:bCs/>
              <w:highlight w:val="no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4"/>
              <w:szCs w:val="24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7" w:anchor="_Toc17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highlight w:val="none"/>
              </w:rPr>
              <w:t xml:space="preserve">Введение</w:t>
            </w:r>
            <w:r>
              <w:rPr>
                <w:rStyle w:val="912"/>
                <w:rFonts w:ascii="Times New Roman" w:hAnsi="Times New Roman" w:cs="Times New Roman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3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highlight w:val="none"/>
            </w:rPr>
          </w:r>
        </w:p>
        <w:p>
          <w:pPr>
            <w:pStyle w:val="914"/>
            <w:pBdr/>
            <w:tabs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/>
              <w:bCs/>
              <w:spacing w:val="5"/>
              <w:highlight w:val="none"/>
            </w:rPr>
          </w:pPr>
          <w:hyperlink w:tooltip="#_Toc18" w:anchor="_Toc18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spacing w:val="5"/>
                <w:highlight w:val="none"/>
                <w:lang w:val="ru-RU"/>
              </w:rPr>
              <w:t xml:space="preserve">Постановка задачи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spacing w:val="5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b/>
              <w:bCs/>
              <w:spacing w:val="5"/>
              <w:highlight w:val="none"/>
              <w:lang w:val="ru-RU"/>
            </w:rPr>
          </w:r>
        </w:p>
        <w:p>
          <w:pPr>
            <w:pStyle w:val="914"/>
            <w:pBdr/>
            <w:tabs>
              <w:tab w:val="right" w:leader="dot" w:pos="9355"/>
            </w:tabs>
            <w:spacing/>
            <w:ind/>
            <w:rPr>
              <w:rFonts w:ascii="Times New Roman" w:hAnsi="Times New Roman" w:cs="Times New Roman"/>
              <w:b/>
              <w:bCs/>
              <w:highlight w:val="none"/>
              <w14:ligatures w14:val="none"/>
            </w:rPr>
          </w:pPr>
          <w:hyperlink w:tooltip="#_Toc19" w:anchor="_Toc19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highlight w:val="none"/>
                <w:lang w:val="en-US"/>
              </w:rPr>
              <w:t xml:space="preserve">1.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highlight w:val="none"/>
                <w:lang w:val="ru-RU"/>
              </w:rPr>
              <w:t xml:space="preserve">Способы параллелизма моделей</w:t>
            </w:r>
            <w:r>
              <w:rPr>
                <w:rStyle w:val="912"/>
                <w:rFonts w:ascii="Times New Roman" w:hAnsi="Times New Roman" w:cs="Times New Roman"/>
                <w:b/>
                <w:bCs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  <w:highlight w:val="none"/>
              <w14:ligatures w14:val="none"/>
            </w:rPr>
          </w:r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b/>
              <w:bCs/>
              <w:highlight w:val="none"/>
            </w:rPr>
          </w:pPr>
          <w:hyperlink w:tooltip="#_Toc20" w:anchor="_Toc20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  <w:b w:val="0"/>
                <w:bCs w:val="0"/>
                <w:highlight w:val="none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highlight w:val="none"/>
              </w:rPr>
              <w:t xml:space="preserve">1.1. Тензорный параллелизм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b/>
              <w:bCs/>
              <w:highlight w:val="none"/>
            </w:rPr>
          </w:r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21" w:anchor="_Toc21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  <w:highlight w:val="none"/>
                <w:lang w:val="ru-RU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highlight w:val="none"/>
                <w:lang w:val="en-US"/>
              </w:rPr>
              <w:t xml:space="preserve">1.2.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highlight w:val="none"/>
                <w:lang w:val="ru-RU"/>
              </w:rPr>
              <w:t xml:space="preserve">Конвейерный параллелизм </w:t>
            </w:r>
            <w:r>
              <w:rPr>
                <w:rStyle w:val="912"/>
                <w:rFonts w:ascii="Times New Roman" w:hAnsi="Times New Roman" w:cs="Times New Roman"/>
                <w:lang w:val="ru-RU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  <w:lang w:val="ru-RU"/>
            </w:rPr>
          </w:r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22" w:anchor="_Toc22" w:history="1">
            <w:r>
              <w:rPr>
                <w:rStyle w:val="912"/>
              </w:rPr>
            </w:r>
            <w:r>
              <w:rPr>
                <w:rStyle w:val="912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en-US"/>
              </w:rPr>
              <w:t xml:space="preserve">1.3.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Экспертный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параллелизм</w:t>
            </w:r>
            <w:r>
              <w:rPr>
                <w:rStyle w:val="912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>
          <w:pPr>
            <w:pStyle w:val="914"/>
            <w:pBdr/>
            <w:tabs>
              <w:tab w:val="left" w:leader="none" w:pos="91"/>
              <w:tab w:val="right" w:leader="dot" w:pos="9355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23" w:anchor="_Toc23" w:history="1">
            <w:r>
              <w:rPr>
                <w:rStyle w:val="912"/>
              </w:rPr>
            </w:r>
            <w:r>
              <w:rPr>
                <w:rStyle w:val="912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</w:rPr>
              <w:t xml:space="preserve">2. Методы оптимизации распределенного инференса</w:t>
            </w:r>
            <w:r>
              <w:rPr>
                <w:rStyle w:val="912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/>
          </w:pPr>
          <w:hyperlink w:tooltip="#_Toc24" w:anchor="_Toc24" w:history="1">
            <w:r>
              <w:rPr>
                <w:rStyle w:val="912"/>
              </w:rPr>
            </w:r>
            <w:r>
              <w:rPr>
                <w:rStyle w:val="912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</w:rPr>
              <w:t xml:space="preserve">2.1. Выгрузка параметров на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en-US"/>
              </w:rPr>
              <w:t xml:space="preserve">CPU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и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en-US"/>
              </w:rPr>
              <w:t xml:space="preserve">NVMe</w:t>
            </w:r>
            <w:r>
              <w:rPr>
                <w:rStyle w:val="912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/>
          </w:pPr>
          <w:hyperlink w:tooltip="#_Toc25" w:anchor="_Toc25" w:history="1">
            <w:r>
              <w:rPr>
                <w:rStyle w:val="912"/>
              </w:rPr>
            </w:r>
            <w:r>
              <w:rPr>
                <w:rStyle w:val="912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en-US"/>
              </w:rPr>
              <w:t xml:space="preserve">2.2.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Оптимизация коллективных операций</w:t>
            </w:r>
            <w:r>
              <w:rPr>
                <w:rStyle w:val="912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26" w:anchor="_Toc26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en-US"/>
              </w:rPr>
              <w:t xml:space="preserve">2.3.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Оптимизации путей активации экспертов для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en-US"/>
              </w:rPr>
              <w:t xml:space="preserve">MoE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архитектур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.</w:t>
            </w:r>
            <w:r>
              <w:rPr>
                <w:rStyle w:val="912"/>
                <w:rFonts w:ascii="Times New Roman" w:hAnsi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Style w:val="914"/>
            <w:pBdr/>
            <w:tabs>
              <w:tab w:val="left" w:leader="none" w:pos="91"/>
              <w:tab w:val="right" w:leader="dot" w:pos="9355"/>
            </w:tabs>
            <w:spacing/>
            <w:ind/>
            <w:rPr>
              <w:rFonts w:ascii="Times New Roman" w:hAnsi="Times New Roman" w:cs="Times New Roman"/>
            </w:rPr>
          </w:pPr>
          <w:hyperlink w:tooltip="#_Toc27" w:anchor="_Toc27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en-US"/>
              </w:rPr>
              <w:t xml:space="preserve">3.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Инструменты для реализации распределенного инференса</w:t>
            </w:r>
            <w:r>
              <w:rPr>
                <w:rStyle w:val="912"/>
                <w:rFonts w:ascii="Times New Roman" w:hAnsi="Times New Roman" w:cs="Times New Roman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hyperlink w:tooltip="#_Toc28" w:anchor="_Toc28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  <w:highlight w:val="none"/>
                <w:lang w:val="ru-RU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highlight w:val="none"/>
                <w:lang w:val="en-US"/>
              </w:rPr>
              <w:t xml:space="preserve">3.1. MindSpore</w:t>
            </w:r>
            <w:r>
              <w:rPr>
                <w:rStyle w:val="912"/>
                <w:rFonts w:ascii="Times New Roman" w:hAnsi="Times New Roman" w:eastAsia="Times New Roman" w:cs="Times New Roman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highlight w:val="none"/>
              <w:lang w:val="ru-RU"/>
            </w:rPr>
          </w:r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hyperlink w:tooltip="#_Toc29" w:anchor="_Toc29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  <w:b w:val="0"/>
                <w:bCs w:val="0"/>
                <w:spacing w:val="5"/>
                <w:highlight w:val="none"/>
                <w:lang w:val="en-US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spacing w:val="5"/>
                <w:highlight w:val="none"/>
                <w:lang w:val="en-US"/>
              </w:rPr>
              <w:t xml:space="preserve">3.2. DeepSpeed</w:t>
            </w:r>
            <w:r>
              <w:rPr>
                <w:rStyle w:val="912"/>
                <w:rFonts w:ascii="Times New Roman" w:hAnsi="Times New Roman" w:eastAsia="Times New Roman" w:cs="Times New Roman"/>
                <w:b w:val="0"/>
                <w:bCs w:val="0"/>
                <w:spacing w:val="5"/>
                <w:highlight w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>
          <w:pPr>
            <w:pStyle w:val="915"/>
            <w:pBdr/>
            <w:tabs>
              <w:tab w:val="left" w:leader="none" w:pos="311"/>
              <w:tab w:val="right" w:leader="dot" w:pos="9355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30" w:anchor="_Toc30" w:history="1">
            <w:r>
              <w:rPr>
                <w:rStyle w:val="912"/>
              </w:rPr>
            </w:r>
            <w:r>
              <w:rPr>
                <w:rStyle w:val="912"/>
                <w:rFonts w:ascii="Times New Roman" w:hAnsi="Times New Roman" w:eastAsia="Times New Roman" w:cs="Times New Roman"/>
                <w:b w:val="0"/>
                <w:bCs w:val="0"/>
                <w:spacing w:val="5"/>
                <w:highlight w:val="none"/>
              </w:rPr>
              <w:tab/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spacing w:val="5"/>
                <w:highlight w:val="none"/>
              </w:rPr>
              <w:t xml:space="preserve">3.3. 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spacing w:val="5"/>
                <w:highlight w:val="none"/>
                <w:lang w:val="en-US"/>
              </w:rPr>
              <w:t xml:space="preserve">Megatron-LM</w:t>
            </w:r>
            <w:r>
              <w:rPr>
                <w:rStyle w:val="912"/>
                <w:rFonts w:ascii="Times New Roman" w:hAnsi="Times New Roman" w:eastAsia="Times New Roman" w:cs="Times New Roman"/>
                <w:b/>
                <w:bCs/>
                <w:spacing w:val="5"/>
                <w:highlight w:val="none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>
          <w:pPr>
            <w:pBdr/>
            <w:spacing/>
            <w:ind/>
            <w:rPr>
              <w:highlight w:val="none"/>
            </w:rPr>
          </w:pPr>
          <w:r/>
          <w:r>
            <w:rPr>
              <w:rFonts w:ascii="Times New Roman" w:hAnsi="Times New Roman" w:cs="Times New Roman"/>
              <w:b/>
              <w:bCs/>
              <w:highlight w:val="none"/>
            </w:rPr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4"/>
              <w:szCs w:val="24"/>
              <w:highlight w:val="none"/>
            </w:rPr>
            <w:br w:type="page" w:clear="all"/>
          </w:r>
          <w:r/>
          <w:r/>
        </w:p>
        <w:p>
          <w:pPr>
            <w:pStyle w:val="867"/>
            <w:pBdr/>
            <w:spacing/>
            <w:ind w:firstLine="708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pPr>
          <w:r/>
          <w:bookmarkStart w:id="17" w:name="_Toc17"/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  <w:t xml:space="preserve">Введение</w:t>
          </w:r>
          <w:r/>
          <w:bookmarkEnd w:id="17"/>
          <w:r/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highlight w:val="none"/>
            </w:rPr>
          </w:r>
        </w:p>
      </w:sdtContent>
    </w:sdt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В современную эпоху активного развития искусственного интеллекта и глубокого машинного обучения большие нейросетевые модели становятся неотъемлемой частью решения множества сложных задач, таких как распознавание образов, обработка естественного языка и авт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ономное управление.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pacing w:val="5"/>
          <w:sz w:val="24"/>
        </w:rPr>
        <w:t xml:space="preserve">Инференс нейросетевых моделей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 — это процесс использования уже обученной нейронной сети для предсказания результатов на новых, ранее невидимых данных. В отличие от этапа обучения, когда модель настраивает свои веса на основе обучающих данных, во время инфер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енса модель остаётся фиксированной, и её задача — эффективно применять накопленные знания для решения поставленной задачи.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Однако увеличение сложности и размеров моделей часто приводит к проблемам, связанным с чрезмерными временными затратами на инференс или невозможностью размещения модели в памяти графического ускорителя (GPU). Одним из решений этой проблемы является распред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еление нейросетевой модели между несколькими GPU. Такой подход называется параллелизмом на уровне модели.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Вопросы эффективного распределения нейросетевых моделей по вычислительным устройствам становятся особенно актуальными в условиях роста требований к вычислительным ресурсам и необходимости выполнения вычислений в реальном времени. Распределённый инференс по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зволяет использовать несколько устройств (GPU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lang w:val="en-US"/>
        </w:rPr>
        <w:t xml:space="preserve">,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lang w:val="en-US"/>
        </w:rPr>
        <w:t xml:space="preserve"> CPU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) для преодоления ограничений по памяти и вычислительной мощности, а также для сокращения времени отклика системы.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0" w:left="0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При распределённом инференсе возникает необходимость разделить матрицы весов модели между различными устройствами. Для этого требуется определённым образом «разрезать» нейронную сеть и распределить эти части по доступным ресурсам. Существует два способа ра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зрезания модели: горизонтальный (межслойный) и вертикальный (внутрислойный).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0" w:left="0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Горизонтальный способ достаточно прост в реализации, однако может быть не очень эффективным. Дело в том, что при таком подходе обработка данных на каждом слое происходит только на одной видеокарте, вследствие чего другие устройства могут простаивать, что п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риводит к неэффективному использованию вычислительных ресурсов. Вертикальный способ, напротив, позволяет задействовать одновременно несколько видеокарт, что значительно повышает производительность вычислений. Однако его реализация является более сложной.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0" w:left="0"/>
        <w:jc w:val="both"/>
        <w:rPr>
          <w:rFonts w:ascii="Times New Roman" w:hAnsi="Times New Roman" w:eastAsia="Times New Roman" w:cs="Times New Roman"/>
          <w:color w:val="000000" w:themeColor="text1"/>
          <w:spacing w:val="5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</w:rPr>
        <w:t xml:space="preserve">В данной работе рассматриваются различные методы распределённого инференса глубоких нейросетевых моделей, а также инструменты, реализующие эти подходы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lang w:val="en-US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szCs w:val="24"/>
          <w:highlight w:val="none"/>
          <w:lang w:val="en-US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</w:rPr>
      </w:r>
    </w:p>
    <w:p>
      <w:pPr>
        <w:pStyle w:val="867"/>
        <w:pBdr/>
        <w:spacing/>
        <w:ind w:firstLine="708"/>
        <w:rPr>
          <w:rFonts w:ascii="Times New Roman" w:hAnsi="Times New Roman" w:eastAsia="Times New Roman" w:cs="Times New Roman"/>
          <w:b/>
          <w:bCs/>
          <w:color w:val="000000" w:themeColor="text1"/>
          <w:spacing w:val="5"/>
          <w:sz w:val="28"/>
          <w:szCs w:val="28"/>
          <w:highlight w:val="none"/>
          <w:lang w:val="ru-RU"/>
        </w:rPr>
      </w:pPr>
      <w:r/>
      <w:bookmarkStart w:id="18" w:name="_Toc18"/>
      <w:r>
        <w:rPr>
          <w:rFonts w:ascii="Times New Roman" w:hAnsi="Times New Roman" w:eastAsia="Times New Roman" w:cs="Times New Roman"/>
          <w:b/>
          <w:bCs/>
          <w:color w:val="000000" w:themeColor="text1"/>
          <w:spacing w:val="5"/>
          <w:sz w:val="28"/>
          <w:szCs w:val="28"/>
          <w:highlight w:val="none"/>
          <w:lang w:val="ru-RU"/>
        </w:rPr>
        <w:t xml:space="preserve">Постановка задачи</w:t>
      </w:r>
      <w:r/>
      <w:bookmarkEnd w:id="18"/>
      <w:r/>
      <w:r>
        <w:rPr>
          <w:rFonts w:ascii="Times New Roman" w:hAnsi="Times New Roman" w:eastAsia="Times New Roman" w:cs="Times New Roman"/>
          <w:b/>
          <w:bCs/>
          <w:color w:val="000000" w:themeColor="text1"/>
          <w:spacing w:val="5"/>
          <w:sz w:val="28"/>
          <w:szCs w:val="28"/>
          <w:highlight w:val="none"/>
          <w:lang w:val="ru-RU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0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pacing w:val="5"/>
          <w:sz w:val="24"/>
          <w:szCs w:val="24"/>
          <w:highlight w:val="none"/>
          <w:lang w:val="ru-RU"/>
        </w:rPr>
        <w:t xml:space="preserve">Цель: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white"/>
        </w:rPr>
        <w:t xml:space="preserve">Исследовать различные подходы к распределенному инференсу и оценить эффективность соответствующих инструментальных решений.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0" w:left="0"/>
        <w:jc w:val="both"/>
        <w:rPr>
          <w:rFonts w:ascii="Times New Roman" w:hAnsi="Times New Roman" w:cs="Times New Roman"/>
          <w:b/>
          <w:bCs/>
          <w:color w:val="000000" w:themeColor="text1"/>
          <w:spacing w:val="5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pacing w:val="5"/>
          <w:sz w:val="24"/>
          <w:szCs w:val="24"/>
          <w:highlight w:val="none"/>
          <w:lang w:val="ru-RU"/>
        </w:rPr>
        <w:t xml:space="preserve">Задачи: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color w:val="000000" w:themeColor="text1"/>
          <w:spacing w:val="5"/>
          <w:sz w:val="24"/>
          <w:szCs w:val="24"/>
          <w:highlight w:val="none"/>
        </w:rPr>
      </w:r>
    </w:p>
    <w:p>
      <w:pPr>
        <w:pStyle w:val="929"/>
        <w:numPr>
          <w:ilvl w:val="0"/>
          <w:numId w:val="1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 xml:space="preserve">Исследование тезнорного параллелизма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>
      <w:pPr>
        <w:pStyle w:val="929"/>
        <w:numPr>
          <w:ilvl w:val="0"/>
          <w:numId w:val="1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 xml:space="preserve">Изучение конвейерного параллелизма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>
      <w:pPr>
        <w:pStyle w:val="929"/>
        <w:numPr>
          <w:ilvl w:val="0"/>
          <w:numId w:val="1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 xml:space="preserve">Анализ параллелизма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 xml:space="preserve">экспертов для архитектур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en-US"/>
        </w:rPr>
        <w:t xml:space="preserve">MoE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>
      <w:pPr>
        <w:pStyle w:val="929"/>
        <w:numPr>
          <w:ilvl w:val="0"/>
          <w:numId w:val="1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 xml:space="preserve">Изучение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 процесса инференса моделей на гетерогенных вычислительных система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 xml:space="preserve">х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>
      <w:pPr>
        <w:pStyle w:val="929"/>
        <w:numPr>
          <w:ilvl w:val="0"/>
          <w:numId w:val="1"/>
        </w:num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pacing w:val="5"/>
          <w:sz w:val="24"/>
          <w:szCs w:val="24"/>
          <w:highlight w:val="none"/>
          <w:lang w:val="ru-RU"/>
        </w:rPr>
        <w:t xml:space="preserve">Обзор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и анализ инструментов, реализующих разные способы параллелизации моделей.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  <w:lang w:val="ru-RU"/>
        </w:rPr>
        <w:br w:type="page" w:clear="all"/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  <w:highlight w:val="none"/>
        </w:rPr>
      </w:r>
    </w:p>
    <w:p>
      <w:pPr>
        <w:pStyle w:val="867"/>
        <w:pBdr/>
        <w:spacing/>
        <w:ind w:firstLine="708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14:ligatures w14:val="none"/>
        </w:rPr>
      </w:pPr>
      <w:r/>
      <w:bookmarkStart w:id="19" w:name="_Toc19"/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en-US"/>
        </w:rPr>
        <w:t xml:space="preserve">1.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Способы параллелизма моделей</w:t>
      </w:r>
      <w:r/>
      <w:bookmarkEnd w:id="19"/>
      <w:r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none"/>
          <w14:ligatures w14:val="none"/>
        </w:rPr>
      </w:r>
    </w:p>
    <w:p>
      <w:pPr>
        <w:pStyle w:val="868"/>
        <w:pBdr/>
        <w:spacing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/>
      <w:bookmarkStart w:id="20" w:name="_Toc20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</w:rPr>
        <w:t xml:space="preserve">1.1. Тензорный параллелизм </w:t>
      </w:r>
      <w:r/>
      <w:bookmarkEnd w:id="20"/>
      <w:r/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0" w:left="0"/>
        <w:jc w:val="both"/>
        <w:rPr>
          <w:rFonts w:ascii="Times New Roman" w:hAnsi="Times New Roman" w:cs="Times New Roman"/>
        </w:rPr>
      </w:pPr>
      <w:r>
        <w:tab/>
      </w:r>
      <w:r>
        <w:rPr>
          <w:rFonts w:ascii="Times New Roman" w:hAnsi="Times New Roman" w:eastAsia="Times New Roman" w:cs="Times New Roman"/>
          <w:color w:val="2c2c36"/>
          <w:spacing w:val="5"/>
          <w:sz w:val="24"/>
        </w:rPr>
        <w:t xml:space="preserve">Тензорный параллелизм — это метод параллельного разбиения модели, при котором тензор параметров каждого слоя распределяется между несколькими процессорами.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2c2c36"/>
          <w:spacing w:val="5"/>
          <w:sz w:val="24"/>
        </w:rPr>
        <w:t xml:space="preserve">Впервые тензорный параллелизм был представлен в статье о модели Megatron-LM [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lang w:val="en-US"/>
        </w:rPr>
        <w:t xml:space="preserve">*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</w:rPr>
        <w:t xml:space="preserve">] как способ обучения больших языковых моделей на значительном количестве видеокарт. В данной работе для обучения моделей BERT и GPT-2 использовалось 512 видеокарт. Модель основ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</w:rPr>
        <w:t xml:space="preserve">ана на архитектуре трансформера, за которой следует двухслойный перцептрон. На рисунке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</w:rPr>
        <w:t xml:space="preserve"> показан способ разделения перцептрона.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none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0"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2192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63478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27219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14.3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1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Способ разделения перцептрона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  <w:lang w:val="en-US"/>
        </w:rPr>
        <w:t xml:space="preserve">[*]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Bdr/>
        <w:tabs>
          <w:tab w:val="left" w:leader="none" w:pos="1134"/>
        </w:tabs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tab/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tabs>
          <w:tab w:val="left" w:leader="none" w:pos="1184"/>
        </w:tabs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tab/>
      </w:r>
      <w:r>
        <w:rPr>
          <w:rFonts w:ascii="Times New Roman" w:hAnsi="Times New Roman" w:eastAsia="Times New Roman" w:cs="Times New Roman"/>
          <w:sz w:val="24"/>
          <w:szCs w:val="24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</w:rPr>
          <m:rPr>
            <m:sty m:val="i"/>
          </m:rPr>
          <m:t>Y</m:t>
        </m:r>
      </m:oMath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может быть представлен следующим образом: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tabs>
          <w:tab w:val="left" w:leader="none" w:pos="1184"/>
        </w:tabs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4"/>
              <w:szCs w:val="24"/>
              <w:lang w:val="ru-RU"/>
            </w:rPr>
            <m:rPr>
              <m:sty m:val="i"/>
            </m:rPr>
            <m:t>Y=</m:t>
          </m:r>
          <m:r>
            <w:rPr>
              <w:rFonts w:hint="default" w:ascii="Cambria Math" w:hAnsi="Cambria Math" w:eastAsia="Cambria Math" w:cs="Cambria Math"/>
              <w:sz w:val="24"/>
              <w:szCs w:val="24"/>
              <w:lang w:val="ru-RU"/>
            </w:rPr>
            <m:rPr>
              <m:sty m:val="i"/>
            </m:rPr>
            <m:t>GeLU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4"/>
                  <w:szCs w:val="24"/>
                  <w:lang w:val="ru-RU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lang w:val="ru-RU"/>
                </w:rPr>
                <m:rPr>
                  <m:sty m:val="i"/>
                </m:rPr>
                <m:t>XA</m:t>
              </m:r>
            </m:e>
          </m:d>
          <m:r>
            <w:rPr>
              <w:rFonts w:hint="default" w:ascii="Cambria Math" w:hAnsi="Cambria Math" w:eastAsia="Cambria Math" w:cs="Cambria Math"/>
              <w:sz w:val="24"/>
              <w:szCs w:val="24"/>
              <w:lang w:val="ru-RU"/>
            </w:rPr>
            <m:rPr/>
            <m:t> (1)</m:t>
          </m:r>
        </m:oMath>
      </m:oMathPara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tabs>
          <w:tab w:val="left" w:leader="none" w:pos="1184"/>
        </w:tabs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  <w:t xml:space="preserve">Существует возможность разделить матрицу весов по столбцам: </w:t>
      </w:r>
      <w:r>
        <w:rPr>
          <w:rFonts w:ascii="Times New Roman" w:hAnsi="Times New Roman" w:eastAsia="Times New Roman" w:cs="Times New Roman"/>
          <w:sz w:val="24"/>
          <w:szCs w:val="24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</w:rPr>
          <m:rPr>
            <m:sty m:val="i"/>
          </m:rPr>
          <m:t>A=[</m:t>
        </m:r>
        <m:sSub>
          <m:sSubPr>
            <m:ctrlPr>
              <w:rPr>
                <w:rFonts w:ascii="Cambria Math" w:hAnsi="Cambria Math" w:eastAsia="Cambria Math" w:cs="Cambria Math"/>
                <w:sz w:val="24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>
                <m:sty m:val="i"/>
              </m:rPr>
              <m:t>A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>
                <m:sty m:val="i"/>
              </m:rPr>
              <m:t>1</m:t>
            </m:r>
          </m:sub>
        </m:sSub>
        <m:sSub>
          <m:sSubPr>
            <m:ctrlPr>
              <w:rPr>
                <w:rFonts w:ascii="Cambria Math" w:hAnsi="Cambria Math" w:eastAsia="Cambria Math" w:cs="Cambria Math"/>
                <w:sz w:val="24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/>
              <m:t>,A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</w:rPr>
              <m:rPr/>
              <m:t>2</m:t>
            </m:r>
          </m:sub>
        </m:sSub>
        <m:r>
          <w:rPr>
            <w:rFonts w:hint="default" w:ascii="Cambria Math" w:hAnsi="Cambria Math" w:eastAsia="Cambria Math" w:cs="Cambria Math"/>
            <w:sz w:val="24"/>
            <w:szCs w:val="24"/>
          </w:rPr>
          <m:rPr/>
          <m:t>]</m:t>
        </m:r>
        <m:sSub>
          <m:sSubPr>
            <m:ctrlPr>
              <w:rPr>
                <w:rFonts w:ascii="Cambria Math" w:hAnsi="Cambria Math" w:eastAsia="Cambria Math" w:cs="Cambria Math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</w:rPr>
              <m:rPr/>
              <m:t>,A</m:t>
            </m:r>
          </m:e>
          <m:sub>
            <m:r>
              <w:rPr>
                <w:rFonts w:hint="default" w:ascii="Cambria Math" w:hAnsi="Cambria Math" w:eastAsia="Cambria Math" w:cs="Cambria Math"/>
              </w:rPr>
              <m:rPr/>
              <m:t>2</m:t>
            </m:r>
          </m:sub>
        </m:sSub>
      </m:oMath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Тогда </w:t>
      </w:r>
      <w:r>
        <w:rPr>
          <w:rFonts w:ascii="Times New Roman" w:hAnsi="Times New Roman" w:eastAsia="Times New Roman" w:cs="Times New Roman"/>
          <w:sz w:val="24"/>
          <w:szCs w:val="24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</w:rPr>
          <m:rPr>
            <m:sty m:val="i"/>
          </m:rPr>
          <m:t>Y</m:t>
        </m:r>
      </m:oMath>
      <w:r>
        <w:rPr>
          <w:rFonts w:ascii="Times New Roman" w:hAnsi="Times New Roman" w:eastAsia="Times New Roman" w:cs="Times New Roman"/>
          <w:sz w:val="24"/>
          <w:szCs w:val="24"/>
        </w:rPr>
        <w:t xml:space="preserve"> представима в следующем виде: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tabs>
          <w:tab w:val="left" w:leader="none" w:pos="1184"/>
        </w:tabs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</w:rPr>
            <m:rPr>
              <m:sty m:val="i"/>
            </m:rPr>
            <m:t>Y=[GeLU(X</m:t>
          </m:r>
          <m:sSub>
            <m:sSubPr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</w:rPr>
                <m:rPr>
                  <m:sty m:val="i"/>
                </m:rPr>
                <m:t>A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</w:rPr>
                <m:rPr>
                  <m:sty m:val="i"/>
                </m:rPr>
                <m:t>1</m:t>
              </m:r>
            </m:sub>
          </m:sSub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</w:rPr>
            <m:rPr/>
            <m:t>),</m:t>
          </m:r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</w:rPr>
            <m:rPr>
              <m:sty m:val="i"/>
            </m:rPr>
            <m:t>GeLU(X</m:t>
          </m:r>
          <m:sSub>
            <m:sSubPr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</w:rPr>
                <m:rPr/>
                <m:t>A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</w:rPr>
                <m:rPr/>
                <m:t>2</m:t>
              </m:r>
            </m:sub>
          </m:sSub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</w:rPr>
            <m:rPr/>
            <m:t>)] (2)</m:t>
          </m:r>
        </m:oMath>
      </m:oMathPara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tabs>
          <w:tab w:val="left" w:leader="none" w:pos="1184"/>
        </w:tabs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  <w:t xml:space="preserve">Так как следующую операцию умножения можно также провести в разделенном для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en-US"/>
          </w:rPr>
          <m:rPr>
            <m:sty m:val="i"/>
          </m:rPr>
          <m:t>Y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в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иде (1), нет необходимости на этом этапе добавлять какие-либо точки синхронизации. Следующая матрица весов разделяется по строкам. Таким образом матрицу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Z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можно представить в виде: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tabs>
          <w:tab w:val="left" w:leader="none" w:pos="1184"/>
        </w:tabs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>
              <m:sty m:val="i"/>
            </m:rPr>
            <m:t>Z = Dropout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Z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1</m:t>
                  </m:r>
                </m:sub>
              </m:s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+</m:t>
              </m:r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Z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2</m:t>
                  </m:r>
                </m:sub>
              </m:sSub>
            </m:e>
          </m:d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=Dropout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Y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B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1</m:t>
                  </m:r>
                </m:sub>
              </m:s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+</m:t>
              </m:r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Y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B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2</m:t>
                  </m:r>
                </m:sub>
              </m:sSub>
            </m:e>
          </m:d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 (3)</m:t>
          </m:r>
          <m:sSub>
            <m:sSubPr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B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1</m:t>
              </m:r>
            </m:sub>
          </m:sSub>
        </m:oMath>
      </m:oMathPara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tabs>
          <w:tab w:val="left" w:leader="none" w:pos="1184"/>
        </w:tabs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  <w:t xml:space="preserve">Следовательно, для получения матрицы </w:t>
      </w: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Z</m:t>
        </m:r>
      </m:oMath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  <w:t xml:space="preserve"> необходимо добавить точку синхронизации и применить оператор </w:t>
      </w: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all-reduce(g)</m:t>
        </m:r>
      </m:oMath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  <w:t xml:space="preserve">, задача которого состоит в том, чтобы собрать полученные матрицы со всех </w:t>
      </w:r>
      <w:r>
        <w:rPr>
          <w:rFonts w:ascii="Times New Roman" w:hAnsi="Times New Roman" w:cs="Times New Roman"/>
          <w:sz w:val="24"/>
          <w:szCs w:val="24"/>
          <w:highlight w:val="none"/>
          <w:lang w:val="en-US"/>
        </w:rPr>
        <w:t xml:space="preserve">GPU</w:t>
      </w: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  <w:t xml:space="preserve"> и произвести операцию редукции.</w:t>
      </w:r>
      <w:r>
        <w:rPr>
          <w:rFonts w:ascii="Times New Roman" w:hAnsi="Times New Roman" w:cs="Times New Roman"/>
          <w:sz w:val="24"/>
          <w:szCs w:val="24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</w:r>
    </w:p>
    <w:p>
      <w:pPr>
        <w:pBdr/>
        <w:tabs>
          <w:tab w:val="left" w:leader="none" w:pos="1184"/>
        </w:tabs>
        <w:spacing/>
        <w:ind/>
        <w:jc w:val="both"/>
        <w:rPr>
          <w:highlight w:val="none"/>
        </w:rPr>
      </w:pP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  <w:tab/>
        <w:t xml:space="preserve">На рисунке 2 представлен способ разделения блока </w:t>
      </w:r>
      <w:r>
        <w:rPr>
          <w:rFonts w:ascii="Times New Roman" w:hAnsi="Times New Roman" w:cs="Times New Roman"/>
          <w:sz w:val="24"/>
          <w:szCs w:val="24"/>
          <w:highlight w:val="none"/>
          <w:lang w:val="en-US"/>
        </w:rPr>
        <w:t xml:space="preserve">self-attention. </w:t>
      </w:r>
      <w:r>
        <w:rPr>
          <w:rFonts w:ascii="Times New Roman" w:hAnsi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</w:r>
      <w:r>
        <w:rPr>
          <w:highlight w:val="none"/>
        </w:rPr>
      </w:r>
    </w:p>
    <w:p>
      <w:pPr>
        <w:pBdr/>
        <w:tabs>
          <w:tab w:val="left" w:leader="none" w:pos="1184"/>
        </w:tabs>
        <w:spacing/>
        <w:ind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469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25805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246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55.6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2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Тензорный параллелизм self-attention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lang w:val="en-US"/>
        </w:rPr>
        <w:tab/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 этом случае разделяются матрицы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ru-RU"/>
          </w:rPr>
          <m:rPr>
            <m:sty m:val="i"/>
          </m:rPr>
          <m:t>Q, K, V</m:t>
        </m:r>
      </m:oMath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по столбцам и вычисления производятся независимо на каждом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GPU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. После этого получаем матрицу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ru-RU"/>
          </w:rPr>
          <m:rPr>
            <m:sty m:val="i"/>
          </m:rPr>
          <m:t>Y=[</m:t>
        </m:r>
        <m:sSub>
          <m:sSubPr>
            <m:ctrlPr>
              <w:rPr>
                <w:rFonts w:ascii="Cambria Math" w:hAnsi="Cambria Math" w:eastAsia="Cambria Math" w:cs="Cambria Math"/>
                <w:sz w:val="24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ru-RU"/>
              </w:rPr>
              <m:rPr>
                <m:sty m:val="i"/>
              </m:rPr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ru-RU"/>
              </w:rPr>
              <m:rPr>
                <m:sty m:val="i"/>
              </m:rPr>
              <m:t>1</m:t>
            </m:r>
          </m:sub>
        </m:sSub>
        <m:r>
          <w:rPr>
            <w:rFonts w:hint="default" w:ascii="Cambria Math" w:hAnsi="Cambria Math" w:eastAsia="Cambria Math" w:cs="Cambria Math"/>
            <w:sz w:val="24"/>
            <w:szCs w:val="24"/>
            <w:lang w:val="ru-RU"/>
          </w:rPr>
          <m:rPr/>
          <m:t>,</m:t>
        </m:r>
        <m:sSub>
          <m:sSubPr>
            <m:ctrlPr>
              <w:rPr>
                <w:rFonts w:ascii="Cambria Math" w:hAnsi="Cambria Math" w:eastAsia="Cambria Math" w:cs="Cambria Math"/>
                <w:sz w:val="24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ru-RU"/>
              </w:rPr>
              <m:rPr/>
              <m:t>Y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ru-RU"/>
              </w:rPr>
              <m:rPr/>
              <m:t>2</m:t>
            </m:r>
          </m:sub>
        </m:sSub>
        <m:r>
          <w:rPr>
            <w:rFonts w:hint="default" w:ascii="Cambria Math" w:hAnsi="Cambria Math" w:eastAsia="Cambria Math" w:cs="Cambria Math"/>
            <w:sz w:val="24"/>
            <w:szCs w:val="24"/>
            <w:lang w:val="ru-RU"/>
          </w:rPr>
          <m:rPr/>
          <m:t>]</m:t>
        </m:r>
      </m:oMath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Второй этап аналогичен разделению перцептрона.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Таким образом, данный подход позволяет существенно повысить скорость обучения и инференса модели. Однако его эффективность зависит от разработки надёжного механизма разделения матриц весов.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Вместе с тем, данный подход обладает существенной проблемой масштабируемости: эффективное использование данного вида параллелизма ограничено пределами одного узла видеокарт. Это связано с необходимостью синхронизации и межузловой передачи данных на определ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ённых этапах вычислений, что приводит к значительному снижению скорости обработки информации при распределении вычислений между несколькими узлами.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Style w:val="868"/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/>
      <w:bookmarkStart w:id="21" w:name="_Toc21"/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en-US"/>
        </w:rPr>
        <w:t xml:space="preserve">1.2.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ru-RU"/>
        </w:rPr>
        <w:t xml:space="preserve">Конвейерный параллелизм </w:t>
      </w:r>
      <w:r/>
      <w:bookmarkEnd w:id="21"/>
      <w:r/>
      <w:r>
        <w:rPr>
          <w:rFonts w:ascii="Times New Roman" w:hAnsi="Times New Roman" w:cs="Times New Roman"/>
          <w:sz w:val="24"/>
          <w:szCs w:val="24"/>
          <w:lang w:val="ru-RU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b/>
          <w:bCs/>
          <w:color w:val="2c2c36"/>
          <w:spacing w:val="5"/>
          <w:sz w:val="24"/>
          <w:highlight w:val="white"/>
        </w:rPr>
        <w:t xml:space="preserve">Конвейерный параллелизм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 представляет собой подход к распараллеливанию модели, при котором каждый слой или группа последовательных слоев размещается на отдельном вычислительном узле. Последовательные пакеты данных (batches) подаются в конвейер таким образом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, чтобы обеспечить его постоянную загрузку. Обмен данными между узлами ограничивается передачей активаций слоёв, где происходит разделение модели, а также соответствующих градиентов этих активаций.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en-US"/>
        </w:rPr>
        <w:t xml:space="preserve">[*]</w:t>
      </w:r>
      <w:r>
        <w:rPr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На рисунке 3 представлен пример конвейерного параллеллизма. </w: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96245" cy="292432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50467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796245" cy="2924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77.66pt;height:230.2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  <w:lang w:val="ru-RU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3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Конвейерный параллелизм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Этот тип разделения модели обеспечивает высокую эффективность при её масштабировании между вычислительными узлами, поскольку операции на каждом слое не требуют выполнения дополнительных коллективных коммуникаций. Вместе с тем, конвейерный параллелизм имеет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 существенный недостаток — значительная часть графических процессоров простаивает в момент выполнения вычислений на отдельном слое. Более того, размер отдельного слоя модели может превышать объём видеопамяти одного устройства, что ограничивает применимость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 подхода.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white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Для устранения первой проблемы входной батч разбивается на несколько микробатчей, которые последовательно подаются в модель, позволяя начать обработку следующего микробатча до завершения вычислений предыдущего по всей глубине сети. Это позволяет более эффе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ктивно загружать вычислительные ресурсы и сокращает время простоя устройств. Для решения второй проблемы, связанной с ограниченной памятью отдельного GPU, внутри одного узла применяется тензорный параллелизм, обеспечивающий распределение отдельных слоёв ме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жду несколькими видеокартами. Между узлами, в свою очередь, сохраняется использование конвейерного параллелизма, что в совокупности позволяет эффективно распределять модель как внутри узла, так и между узлами вычислительного кластера. Иллюстрация данного п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одхода представлена на рисунке 4.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</w:p>
    <w:p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29035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9344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12903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01.6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4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Использование тензорного параллелизма вместе с конвейерным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  <w:lang w:val="en-US"/>
        </w:rPr>
        <w:t xml:space="preserve">.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  <w:lang w:val="en-US"/>
        </w:rPr>
        <w:t xml:space="preserve">[*]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Style w:val="868"/>
        <w:pBdr/>
        <w:spacing/>
        <w:ind/>
        <w:jc w:val="both"/>
        <w:rPr>
          <w:rFonts w:ascii="Times New Roman" w:hAnsi="Times New Roman" w:cs="Times New Roman"/>
        </w:rPr>
      </w:pPr>
      <w:r/>
      <w:bookmarkStart w:id="22" w:name="_Toc22"/>
      <w: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1.3.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Экспертный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параллелизм</w:t>
      </w:r>
      <w:r/>
      <w:bookmarkEnd w:id="22"/>
      <w:r/>
      <w:r>
        <w:rPr>
          <w:rFonts w:ascii="Times New Roman" w:hAnsi="Times New Roman"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/>
      <w:r>
        <w:tab/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Для начала рассмотрим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архитектуру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моделей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смеси экспертов (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MoE).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b/>
          <w:color w:val="000000" w:themeColor="text1"/>
          <w:spacing w:val="5"/>
          <w:sz w:val="24"/>
          <w:highlight w:val="white"/>
        </w:rPr>
        <w:t xml:space="preserve">Mixture of Experts (MoE) 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— это архитектура нейронных сетей, которая позволяет эффективно масштабировать модель, не увеличивая вычислительные затраты пропорционально размеру. Основная идея MoE заключается в том, чтобы разделить вычисления между несколькими «экспертами», каждый из к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оторых специализируется на определённом типе входных данных. При обработке запроса активируются только те эксперты, которые наиболее релевантны текущей задаче. Такой подход делает модель более производительной и масштабируемой, что особенно важно в совреме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нных больших языковых моделях.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ru-RU"/>
        </w:rPr>
        <w:t xml:space="preserve"> На рисунке 5 представлен пример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  <w:t xml:space="preserve">MoE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ru-RU"/>
        </w:rPr>
        <w:t xml:space="preserve">архитектуры для трансформерного слоя.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  <w:t xml:space="preserve">В контексте моделей трансформеров MoE состоит из двух основных элементов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  <w:t xml:space="preserve">[*]: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</w:p>
    <w:p>
      <w:pPr>
        <w:pStyle w:val="929"/>
        <w:numPr>
          <w:ilvl w:val="0"/>
          <w:numId w:val="4"/>
        </w:numPr>
        <w:pBdr/>
        <w:spacing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  <w:t xml:space="preserve">Вместо слоев плотной сети прямой связи (FFN) используются разреженные слои MoE. В слоях MoE есть определенное количество «экспертов», где каждый эксперт является нейронной сетью. На практике экспертами являются FFN, но они также могут быть бол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  <w:t xml:space="preserve">ее сложными сетями или даже самим MoE.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</w:p>
    <w:p>
      <w:pPr>
        <w:pStyle w:val="929"/>
        <w:numPr>
          <w:ilvl w:val="0"/>
          <w:numId w:val="4"/>
        </w:numPr>
        <w:pBdr/>
        <w:spacing/>
        <w:ind/>
        <w:jc w:val="both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  <w:t xml:space="preserve">Network gate или router, который определяет, какие токены отправляются какому эксперту. Например, на изображении ниже токен "More" отправляется второму эксперту, а токен "Parameters" отправляется в первую сеть. Как мы узнаем позже, мы можем отправить то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  <w:t xml:space="preserve">кен более чем одному эксперту. Как направить токен эксперту - одно из важных решений при работе с MoE - маршрутизатор состоит из изученных параметров и предварительно обучен одновременно с остальной сетью.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</w:p>
    <w:p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8993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6971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8899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227.5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5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Пример архитектуры MoE для трансформенных моделей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  <w:lang w:val="en-US"/>
        </w:rPr>
        <w:t xml:space="preserve">.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  <w:lang w:val="en-US"/>
        </w:rPr>
        <w:t xml:space="preserve">[*]</w:t>
      </w:r>
      <w:r>
        <w:rPr>
          <w:rFonts w:ascii="Times New Roman" w:hAnsi="Times New Roman" w:eastAsia="Times New Roman" w:cs="Times New Roman"/>
          <w:bCs w:val="0"/>
          <w:i w:val="0"/>
          <w:iCs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tab/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Идея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MoE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параллелизма заключается в раздел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нии экспертов по группам, каждая из которых будет находиться на одном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GPU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или узле. Это позволить значительно снизить объем используемой памяти на отдельном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GPU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и значительно повысить скорость инференса за счет того, что эксперты в пределах одного слоя могут выполнять вычисления независимо.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ru-RU"/>
        </w:rPr>
        <w:t xml:space="preserve">Одной из первой реализацией этого параллеллизма была представлена в рамках фреймворка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  <w:lang w:val="en-US"/>
        </w:rPr>
        <w:t xml:space="preserve">GShard[*]. 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В данном подходе экспертные слои разделяются на логические группы, каждая из которых распределяется по отдельным вычислительным устройствам (например, GPU). При этом неэкспертные слои модели дублируются на всех устройствах, что позволяет 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none"/>
          <w:lang w:val="ru-RU"/>
        </w:rPr>
        <w:t xml:space="preserve">использовать также и параллелизм по данным.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  <w:t xml:space="preserve">Однако, этот способ имеет существенную проблему. На рисунке 6 представлена архитектура сети с несколькими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MoE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слоями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Из нем видно, что при переходе между слоями необходимо произвести операцию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en-US"/>
          </w:rPr>
          <m:rPr>
            <m:sty m:val="i"/>
          </m:rPr>
          <m:t>AlltoAll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Э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та операция требует требует полной синхронизации и обмена данными между участниками, вследствие чего является одной из основных проблем параллелизма такого вида.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6084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18352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660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09.5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lang w:val="ru-RU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6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Экспертный параллелизм </w:t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Style w:val="867"/>
        <w:pBdr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/>
      <w:bookmarkStart w:id="23" w:name="_Toc23"/>
      <w: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</w:rPr>
        <w:t xml:space="preserve">2. Методы оптимизации распределенного инференса</w:t>
      </w:r>
      <w:r/>
      <w:bookmarkEnd w:id="23"/>
      <w:r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</w:p>
    <w:p>
      <w:pPr>
        <w:pStyle w:val="868"/>
        <w:pBdr/>
        <w:spacing/>
        <w:ind/>
        <w:jc w:val="both"/>
        <w:rPr/>
      </w:pPr>
      <w:r/>
      <w:bookmarkStart w:id="24" w:name="_Toc24"/>
      <w: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2.1. Выгрузка параметров на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CPU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и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NVMe</w:t>
      </w:r>
      <w:r/>
      <w:bookmarkEnd w:id="24"/>
      <w:r/>
      <w:r/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0" w:left="0"/>
        <w:jc w:val="both"/>
        <w:rPr>
          <w:rFonts w:ascii="Times New Roman" w:hAnsi="Times New Roman" w:cs="Times New Roman"/>
          <w:szCs w:val="24"/>
        </w:rPr>
      </w:pPr>
      <w:r>
        <w:rPr>
          <w:highlight w:val="none"/>
        </w:rPr>
        <w:tab/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Несмотря на то, что существуют различные способы разделения моделей, многим исследователям их использование все еще недоступно. Это связано с тем, что даже не очень большие модели могу требовать десятки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или даже сотни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GPU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для использования.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</w:rPr>
        <w:t xml:space="preserve">В реальных условиях количество доступных вычислительных устройств часто строго ограничено, что делает традиционные методы распределённого вывода неприменимыми.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В таких ситуациях одним из возможных решений становится использование более медленной, но доступной по объёму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  <w:lang w:val="ru-RU"/>
        </w:rPr>
        <w:t xml:space="preserve">оперативной или дисковой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. Основная идея заключается в том, чтобы динамически загружать на GPU только те части модели, к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оторые необходимы для текущих вычислений, а затем выгружать их обратно в память хоста после завершения обработки. Такой подход позволяет значительно снизить требования к видеопамяти и выполнять инференс моделей, размер которых превышает объём локальной пам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яти GPU.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Кроме выгрузки параметров модели, в память хоста или на диск также может быть перемещена часть промежуточных вычислений, что позволяет дополнительно снизить нагрузку на видеопамять. В частности, при инференсе трансформерных моделей широкое применение наход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ит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white"/>
        </w:rPr>
        <w:t xml:space="preserve">кеширование ключей и значений (KV-cache)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— метод, позволяющий сохранять результаты некоторых промежуточных вычислений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для каждого токена.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Благодаря этому при добавлении нового токена к уже существующей последовательности нет необходимости повторно обрабатывать всю входную последовательность целиком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, достаточно достаточно произвести вычисления только для нового токена.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Однако при работе с длинными последовательностями объём данных, хранимых в KV-кэше, может быть значительным, что создаёт дополнительную нагрузку на GPU-память. Для решения этой проблемы применяется выгрузка содержимого KV-кэша в оперативную или дисковую па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white"/>
        </w:rPr>
        <w:t xml:space="preserve">мять по мере необходимости.</w:t>
      </w:r>
      <w:r>
        <w:rPr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/>
      <w:bookmarkStart w:id="16" w:name="_Toc16"/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Style w:val="868"/>
        <w:pBdr/>
        <w:spacing/>
        <w:ind/>
        <w:jc w:val="both"/>
        <w:rPr>
          <w:color w:val="000000" w:themeColor="text1"/>
        </w:rPr>
      </w:pPr>
      <w:r/>
      <w:bookmarkStart w:id="25" w:name="_Toc25"/>
      <w:r>
        <w:rPr>
          <w:color w:val="000000" w:themeColor="text1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2.2.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Оптимизация коллективных операций</w:t>
      </w:r>
      <w:r/>
      <w:bookmarkEnd w:id="25"/>
      <w:r/>
      <w:r>
        <w:rPr>
          <w:color w:val="000000" w:themeColor="text1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color w:val="000000" w:themeColor="text1"/>
          <w:highlight w:val="none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</w:rPr>
        <w:tab/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При выполнении инференса 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происходит значительное количество синхронизаций и межпроцессорного обмена данными между GPU. Вместе с тем, отдельные коллективные операции могут быть недостаточно хорошо оптимизированы для использования в составе нейросетевых моделей</w:t>
      </w:r>
      <w:r>
        <w:rPr>
          <w:rFonts w:ascii="Times New Roman" w:hAnsi="Times New Roman" w:eastAsia="Times New Roman" w:cs="Times New Roman"/>
          <w:color w:val="000000" w:themeColor="text1"/>
          <w:spacing w:val="5"/>
          <w:sz w:val="24"/>
          <w:highlight w:val="white"/>
        </w:rPr>
        <w:t xml:space="preserve">. С учётом специфики задачи инференса появляется возможность самостоятельной оптимизации указанных коллективных операций, что позволяет снизить их вычислительную сложность и ускорить их выполнение.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 Так, например,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DeepSpeed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[*]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пытается оптимизировать операцию 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AlltoAll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 путем использования иерархической структуры. На рисунке 8 проиллюстрирован пример его работы. Сначала происходит преобразование макета данных, затем внутриузловой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AlltoAll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. После еще одного преобразования шаблона данных, реализуется внешний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AlltoAll. 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Это сокращает количество связей с 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</w:r>
      <m:oMath>
        <m:r>
          <w:rPr>
            <w:rFonts w:hint="default" w:ascii="Cambria Math" w:hAnsi="Cambria Math" w:eastAsia="Cambria Math" w:cs="Cambria Math"/>
            <w:color w:val="000000" w:themeColor="text1"/>
            <w:lang w:val="ru-RU"/>
          </w:rPr>
          <m:rPr>
            <m:sty m:val="i"/>
          </m:rPr>
          <m:t>O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color w:val="000000" w:themeColor="text1"/>
                <w:lang w:val="ru-RU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>
                <m:sty m:val="i"/>
              </m:rPr>
              <m:t>p</m:t>
            </m:r>
          </m:e>
        </m:d>
      </m:oMath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до 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</w:r>
      <m:oMath>
        <m:r>
          <w:rPr>
            <w:rFonts w:hint="default" w:ascii="Cambria Math" w:hAnsi="Cambria Math" w:eastAsia="Cambria Math" w:cs="Cambria Math"/>
            <w:color w:val="000000" w:themeColor="text1"/>
            <w:lang w:val="ru-RU"/>
          </w:rPr>
          <m:rPr>
            <m:sty m:val="i"/>
          </m:rPr>
          <m:t>O(g + </m:t>
        </m:r>
        <m:r>
          <w:rPr>
            <w:rFonts w:hint="default" w:ascii="Cambria Math" w:hAnsi="Cambria Math" w:eastAsia="Cambria Math" w:cs="Cambria Math"/>
            <w:color w:val="000000" w:themeColor="text1"/>
            <w:lang w:val="ru-RU"/>
          </w:rPr>
          <m:rPr>
            <m:sty m:val="i"/>
          </m:rPr>
          <m:t>)</m:t>
        </m:r>
        <m:f>
          <m:fPr>
            <m:ctrlPr>
              <w:rPr>
                <w:rFonts w:ascii="Cambria Math" w:hAnsi="Cambria Math" w:eastAsia="Cambria Math" w:cs="Cambria Math"/>
                <w:i/>
                <w:color w:val="000000" w:themeColor="text1"/>
                <w:lang w:val="ru-RU"/>
              </w:rPr>
            </m:ctrlPr>
          </m:fPr>
          <m:num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>
                <m:sty m:val="i"/>
              </m:rPr>
              <m:t>p</m:t>
            </m:r>
          </m:num>
          <m:den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>
                <m:sty m:val="i"/>
              </m:rPr>
              <m:t>g</m:t>
            </m:r>
          </m:den>
        </m:f>
      </m:oMath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, где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</w:r>
      <m:oMath>
        <m:r>
          <w:rPr>
            <w:rFonts w:hint="default" w:ascii="Cambria Math" w:hAnsi="Cambria Math" w:eastAsia="Cambria Math" w:cs="Cambria Math"/>
            <w:color w:val="000000" w:themeColor="text1"/>
            <w:lang w:val="en-US"/>
          </w:rPr>
          <m:rPr>
            <m:sty m:val="i"/>
          </m:rPr>
          <m:t>p</m:t>
        </m:r>
      </m:oMath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и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</w:r>
      <m:oMath>
        <m:r>
          <w:rPr>
            <w:rFonts w:hint="default" w:ascii="Cambria Math" w:hAnsi="Cambria Math" w:eastAsia="Cambria Math" w:cs="Cambria Math"/>
            <w:color w:val="000000" w:themeColor="text1"/>
            <w:lang w:val="en-US"/>
          </w:rPr>
          <m:rPr>
            <m:sty m:val="i"/>
          </m:rPr>
          <m:t>g</m:t>
        </m:r>
      </m:oMath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общее количество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GPU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 и число </w:t>
      </w:r>
      <w:r>
        <w:rPr>
          <w:rFonts w:ascii="Times New Roman" w:hAnsi="Times New Roman" w:eastAsia="Times New Roman" w:cs="Times New Roman"/>
          <w:color w:val="000000" w:themeColor="text1"/>
          <w:lang w:val="en-US"/>
        </w:rPr>
        <w:t xml:space="preserve">GPU </w:t>
      </w:r>
      <w:r>
        <w:rPr>
          <w:rFonts w:ascii="Times New Roman" w:hAnsi="Times New Roman" w:eastAsia="Times New Roman" w:cs="Times New Roman"/>
          <w:color w:val="000000" w:themeColor="text1"/>
          <w:lang w:val="ru-RU"/>
        </w:rPr>
        <w:t xml:space="preserve">на одном узле.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41365" cy="242059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671064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641364" cy="24205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4.20pt;height:190.6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highlight w:val="none"/>
          <w:lang w:val="ru-RU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8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Иерархический MoE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  <w:lang w:val="en-US"/>
        </w:rPr>
        <w:t xml:space="preserve">.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Style w:val="868"/>
        <w:pBdr/>
        <w:spacing/>
        <w:ind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/>
      <w:bookmarkStart w:id="26" w:name="_Toc26"/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2.3.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Оптимизации путей активации экспертов для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en-US"/>
        </w:rPr>
        <w:t xml:space="preserve">MoE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архитектур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lang w:val="ru-RU"/>
        </w:rPr>
        <w:t xml:space="preserve">.</w:t>
      </w:r>
      <w:r/>
      <w:bookmarkEnd w:id="26"/>
      <w:r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  <w:t xml:space="preserve">В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MoE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архитектурах операции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AlltoAll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происходят из-за того, что необходимо передать эксперту соответствующие токены для вычислений. Но, если токен уже находится на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GPU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, то нет необходимости в его передаче. Следовательно, можно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 попытаться предсказывать на основе семантики токена к какому эксперту он отправиться. К тому же, между выходом предыдущего экспертного слоя и следующим за ним может быть аналогичная зависимость. Следовательно, если оптимально «пересадить» экспертов между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GPU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, то существует возможность уменьшить количество данных для передачи. В статье </w:t>
      </w:r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[*]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приводятся такие способы оптимизации коллективных операций.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  <w:t xml:space="preserve">Для предсказания типа «токе-эксперт» используется простая модель, построенная на условных вероятностях: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>
              <m:sty m:val="i"/>
            </m:rPr>
            <m:t>P(</m:t>
          </m:r>
          <m:sSup>
            <m:sSupPr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E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k</m:t>
                  </m:r>
                </m:sub>
              </m:sSub>
            </m:e>
            <m:sup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L</m:t>
              </m:r>
            </m:sup>
          </m:sSup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| </m:t>
          </m:r>
          <m:sSub>
            <m:sSubPr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x</m:t>
              </m:r>
            </m:e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j</m:t>
              </m:r>
            </m:sub>
          </m:sSub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)</m:t>
          </m:r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= 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4"/>
                  <w:szCs w:val="24"/>
                  <w:highlight w:val="none"/>
                  <w:lang w:val="ru-RU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/>
                        <m:t>T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/>
                        <m:t>j,k</m:t>
                      </m:r>
                    </m:sub>
                  </m:sSub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L</m:t>
                  </m:r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 w:eastAsia="Cambria Math" w:cs="Cambria Math"/>
                      <w:i/>
                      <w:sz w:val="24"/>
                      <w:szCs w:val="24"/>
                      <w:highlight w:val="none"/>
                      <w:lang w:val="ru-RU"/>
                    </w:rPr>
                  </m:ctrlPr>
                </m:naryPr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k=1</m:t>
                  </m:r>
                </m:sub>
                <m:sup>
                  <m:sSup>
                    <m:sSupPr>
                      <m:ctrlPr>
                        <w:rPr>
                          <w:rFonts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</m:ctrlPr>
                    </m:sSupPr>
                    <m:e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>
                          <m:sty m:val="i"/>
                        </m:rPr>
                        <m:t>N</m:t>
                      </m:r>
                    </m:e>
                    <m:sup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>
                          <m:sty m:val="i"/>
                        </m:rPr>
                        <m:t>L</m:t>
                      </m:r>
                    </m:sup>
                  </m:sSup>
                </m:sup>
                <m:e>
                  <m:sSup>
                    <m:sSupPr>
                      <m:ctrlPr>
                        <w:rPr>
                          <w:rFonts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hint="default"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  <m:rPr>
                              <m:sty m:val="i"/>
                            </m:rPr>
                            <m:t>T</m:t>
                          </m:r>
                        </m:e>
                        <m:sub>
                          <m:r>
                            <w:rPr>
                              <w:rFonts w:hint="default"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  <m:rPr/>
                            <m:t>j,k</m:t>
                          </m:r>
                        </m:sub>
                      </m:sSub>
                    </m:e>
                    <m:sup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/>
                        <m:t>L</m:t>
                      </m:r>
                    </m:sup>
                  </m:sSup>
                </m:e>
              </m:nary>
            </m:den>
          </m:f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 (4)</m:t>
          </m:r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 </m:t>
          </m:r>
        </m:oMath>
      </m:oMathPara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Где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</m:ctrlPr>
          </m:sSupPr>
          <m:e>
            <m:sSub>
              <m:sSubPr>
                <m:ctrlPr>
                  <w:rPr>
                    <w:rFonts w:ascii="Cambria Math" w:hAnsi="Cambria Math" w:eastAsia="Cambria Math" w:cs="Cambria Math"/>
                    <w:sz w:val="24"/>
                    <w:szCs w:val="24"/>
                    <w:highlight w:val="none"/>
                    <w:lang w:val="ru-RU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4"/>
                    <w:szCs w:val="24"/>
                    <w:highlight w:val="none"/>
                    <w:lang w:val="ru-RU"/>
                  </w:rPr>
                  <m:rPr>
                    <m:sty m:val="i"/>
                  </m:rPr>
                  <m:t>T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4"/>
                    <w:szCs w:val="24"/>
                    <w:highlight w:val="none"/>
                    <w:lang w:val="ru-RU"/>
                  </w:rPr>
                  <m:rPr/>
                  <m:t>j,k</m:t>
                </m:r>
              </m:sub>
            </m:sSub>
          </m:e>
          <m:sup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  <m:rPr/>
              <m:t>L</m:t>
            </m:r>
          </m:sup>
        </m:sSup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– количество раз, когда токен </w:t>
      </w:r>
      <m:oMath>
        <m:sSub>
          <m:sSubPr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  <m:rPr>
                <m:sty m:val="i"/>
              </m:rPr>
              <m:t>x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  <m:rPr>
                <m:sty m:val="i"/>
              </m:rPr>
              <m:t>j</m:t>
            </m:r>
          </m:sub>
        </m:sSub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был маршрутизирован эксперту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</m:ctrlPr>
          </m:sSupPr>
          <m:e>
            <m:sSub>
              <m:sSubPr>
                <m:ctrlPr>
                  <w:rPr>
                    <w:rFonts w:ascii="Cambria Math" w:hAnsi="Cambria Math" w:eastAsia="Cambria Math" w:cs="Cambria Math"/>
                    <w:sz w:val="24"/>
                    <w:szCs w:val="24"/>
                    <w:highlight w:val="none"/>
                    <w:lang w:val="ru-RU"/>
                  </w:rPr>
                </m:ctrlPr>
              </m:sSubPr>
              <m:e>
                <m:r>
                  <w:rPr>
                    <w:rFonts w:hint="default" w:ascii="Cambria Math" w:hAnsi="Cambria Math" w:eastAsia="Cambria Math" w:cs="Cambria Math"/>
                    <w:sz w:val="24"/>
                    <w:szCs w:val="24"/>
                    <w:highlight w:val="none"/>
                    <w:lang w:val="ru-RU"/>
                  </w:rPr>
                  <m:rPr>
                    <m:sty m:val="i"/>
                  </m:rPr>
                  <m:t>E</m:t>
                </m:r>
              </m:e>
              <m:sub>
                <m:r>
                  <w:rPr>
                    <w:rFonts w:hint="default" w:ascii="Cambria Math" w:hAnsi="Cambria Math" w:eastAsia="Cambria Math" w:cs="Cambria Math"/>
                    <w:sz w:val="24"/>
                    <w:szCs w:val="24"/>
                    <w:highlight w:val="none"/>
                    <w:lang w:val="ru-RU"/>
                  </w:rPr>
                  <m:rPr>
                    <m:sty m:val="i"/>
                  </m:rPr>
                  <m:t>k</m:t>
                </m:r>
              </m:sub>
            </m:sSub>
          </m:e>
          <m:sup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  <m:rPr/>
              <m:t>L</m:t>
            </m:r>
          </m:sup>
        </m:sSup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Используется конечное количество токенов, записанных в словаре, которые были получены при более раннем инференсе. В случае появления нового токена, при помощи метрики косинусного расстояния вычисляется наиболее близкий к нему токен, находящийся в словаре.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Вторая оптимизация состоит в объеденении токенов в кластеры на основе вероятностей, полученных на предыдущем шаге. Эту проблему можно описать в виде задачи линейного программирования: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>
              <m:sty m:val="i"/>
            </m:rPr>
            <m:t>L=θ</m:t>
          </m:r>
          <m:nary>
            <m:naryPr>
              <m:chr m:val="∑"/>
              <m:grow m:val="off"/>
              <m:limLoc m:val="undOvr"/>
              <m:ctrlPr>
                <w:rPr>
                  <w:rFonts w:ascii="Cambria Math" w:hAnsi="Cambria Math" w:eastAsia="Cambria Math" w:cs="Cambria Math"/>
                  <w:i/>
                  <w:sz w:val="24"/>
                  <w:szCs w:val="24"/>
                  <w:highlight w:val="none"/>
                  <w:lang w:val="ru-RU"/>
                </w:rPr>
              </m:ctrlPr>
            </m:naryPr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>
                  <m:sty m:val="i"/>
                </m:rPr>
                <m:t>i=1</m:t>
              </m:r>
            </m:sub>
            <m:sup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>
                  <m:sty m:val="i"/>
                </m:rPr>
                <m:t>E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d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 </m:t>
                  </m:r>
                  <m:nary>
                    <m:naryPr>
                      <m:chr m:val="∑"/>
                      <m:grow m:val="off"/>
                      <m:ctrlPr>
                        <w:rPr>
                          <w:rFonts w:ascii="Cambria Math" w:hAnsi="Cambria Math" w:eastAsia="Cambria Math" w:cs="Cambria Math"/>
                          <w:i/>
                          <w:sz w:val="24"/>
                          <w:szCs w:val="24"/>
                          <w:highlight w:val="none"/>
                          <w:lang w:val="ru-RU"/>
                        </w:rPr>
                      </m:ctrlPr>
                    </m:naryPr>
                    <m:sub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>
                          <m:sty m:val="i"/>
                        </m:rPr>
                        <m:t>j=1</m:t>
                      </m:r>
                    </m:sub>
                    <m:sup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>
                          <m:sty m:val="i"/>
                        </m:rPr>
                        <m:t>t</m:t>
                      </m:r>
                    </m:sup>
                    <m:e>
                      <m:d>
                        <m:dPr>
                          <m:begChr m:val="("/>
                          <m:endChr m:val=")"/>
                          <m:ctrlPr>
                            <w:rPr>
                              <w:rFonts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eastAsia="Cambria Math" w:cs="Cambria Math"/>
                                  <w:sz w:val="24"/>
                                  <w:szCs w:val="24"/>
                                  <w:highlight w:val="none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hint="default" w:ascii="Cambria Math" w:hAnsi="Cambria Math" w:eastAsia="Cambria Math" w:cs="Cambria Math"/>
                                  <w:sz w:val="24"/>
                                  <w:szCs w:val="24"/>
                                  <w:highlight w:val="none"/>
                                  <w:lang w:val="ru-RU"/>
                                </w:rPr>
                                <m:rPr>
                                  <m:sty m:val="i"/>
                                </m:rPr>
                                <m:t>R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  <m:rPr/>
                                    <m:t>i,j,a</m:t>
                                  </m:r>
                                </m:e>
                                <m:sub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  <m:rPr/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/>
                        <m:t>- </m:t>
                      </m:r>
                      <m:f>
                        <m:fPr>
                          <m:ctrlPr>
                            <w:rPr>
                              <w:rFonts w:ascii="Cambria Math" w:hAnsi="Cambria Math" w:eastAsia="Cambria Math" w:cs="Cambria Math"/>
                              <w:i/>
                              <w:sz w:val="24"/>
                              <w:szCs w:val="24"/>
                              <w:highlight w:val="none"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hint="default"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  <m:rPr>
                              <m:sty m:val="i"/>
                            </m:rPr>
                            <m:t>S</m:t>
                          </m:r>
                        </m:num>
                        <m:den>
                          <m:r>
                            <w:rPr>
                              <w:rFonts w:hint="default"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  <m:rPr>
                              <m:sty m:val="i"/>
                            </m:rPr>
                            <m:t>E</m:t>
                          </m:r>
                        </m:den>
                      </m:f>
                    </m:e>
                  </m:nary>
                </m:e>
              </m:d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+ (1-θ)</m:t>
              </m:r>
              <m:nary>
                <m:naryPr>
                  <m:chr m:val="∑"/>
                  <m:grow m:val="off"/>
                  <m:limLoc m:val="undOvr"/>
                  <m:supHide m:val="on"/>
                  <m:ctrlPr>
                    <w:rPr>
                      <w:rFonts w:ascii="Cambria Math" w:hAnsi="Cambria Math" w:eastAsia="Cambria Math" w:cs="Cambria Math"/>
                      <w:i/>
                      <w:sz w:val="24"/>
                      <w:szCs w:val="24"/>
                      <w:highlight w:val="none"/>
                      <w:lang w:val="ru-RU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>
                          <m:sty m:val="i"/>
                        </m:rPr>
                        <m:t>i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>
                          <m:sty m:val="i"/>
                        </m:rPr>
                        <m:t>1</m:t>
                      </m:r>
                    </m:sub>
                  </m:s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≠</m:t>
                  </m:r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/>
                        <m:t>i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/>
                        <m:t>2</m:t>
                      </m:r>
                    </m:sub>
                  </m:sSub>
                </m:sub>
                <m:sup/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(</m:t>
                  </m:r>
                  <m:nary>
                    <m:naryPr>
                      <m:chr m:val="∑"/>
                      <m:grow m:val="off"/>
                      <m:limLoc m:val="undOvr"/>
                      <m:ctrlPr>
                        <w:rPr>
                          <w:rFonts w:ascii="Cambria Math" w:hAnsi="Cambria Math" w:eastAsia="Cambria Math" w:cs="Cambria Math"/>
                          <w:i/>
                          <w:sz w:val="24"/>
                          <w:szCs w:val="24"/>
                          <w:highlight w:val="none"/>
                          <w:lang w:val="ru-RU"/>
                        </w:rPr>
                      </m:ctrlPr>
                    </m:naryPr>
                    <m:sub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>
                          <m:sty m:val="i"/>
                        </m:rPr>
                        <m:t>j=1</m:t>
                      </m:r>
                    </m:sub>
                    <m:sup>
                      <m:r>
                        <w:rPr>
                          <w:rFonts w:hint="default" w:ascii="Cambria Math" w:hAnsi="Cambria Math" w:eastAsia="Cambria Math" w:cs="Cambria Math"/>
                          <w:sz w:val="24"/>
                          <w:szCs w:val="24"/>
                          <w:highlight w:val="none"/>
                          <w:lang w:val="ru-RU"/>
                        </w:rPr>
                        <m:rPr>
                          <m:sty m:val="i"/>
                        </m:rPr>
                        <m:t>t</m:t>
                      </m:r>
                    </m:sup>
                    <m:e>
                      <m:nary>
                        <m:naryPr>
                          <m:chr m:val="∑"/>
                          <m:grow m:val="off"/>
                          <m:limLoc m:val="undOvr"/>
                          <m:ctrlPr>
                            <w:rPr>
                              <w:rFonts w:ascii="Cambria Math" w:hAnsi="Cambria Math" w:eastAsia="Cambria Math" w:cs="Cambria Math"/>
                              <w:i/>
                              <w:sz w:val="24"/>
                              <w:szCs w:val="24"/>
                              <w:highlight w:val="none"/>
                              <w:lang w:val="ru-RU"/>
                            </w:rPr>
                          </m:ctrlPr>
                        </m:naryPr>
                        <m:sub>
                          <m:r>
                            <w:rPr>
                              <w:rFonts w:hint="default"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  <m:rPr>
                              <m:sty m:val="i"/>
                            </m:rPr>
                            <m:t>k=1</m:t>
                          </m:r>
                        </m:sub>
                        <m:sup>
                          <m:r>
                            <w:rPr>
                              <w:rFonts w:hint="default"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  <m:rPr>
                              <m:sty m:val="i"/>
                            </m:rP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ctrlPr>
                                <w:rPr>
                                  <w:rFonts w:ascii="Cambria Math" w:hAnsi="Cambria Math" w:eastAsia="Cambria Math" w:cs="Cambria Math"/>
                                  <w:sz w:val="24"/>
                                  <w:szCs w:val="24"/>
                                  <w:highlight w:val="none"/>
                                  <w:lang w:val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  <m:rPr>
                                      <m:sty m:val="i"/>
                                    </m:rPr>
                                    <m:t>R</m:t>
                                  </m:r>
                                </m:e>
                                <m: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eastAsia="Cambria Math" w:cs="Cambria Math"/>
                                          <w:sz w:val="24"/>
                                          <w:szCs w:val="24"/>
                                          <w:highlight w:val="none"/>
                                          <w:lang w:val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hint="default" w:ascii="Cambria Math" w:hAnsi="Cambria Math" w:eastAsia="Cambria Math" w:cs="Cambria Math"/>
                                          <w:sz w:val="24"/>
                                          <w:szCs w:val="24"/>
                                          <w:highlight w:val="none"/>
                                          <w:lang w:val="ru-RU"/>
                                        </w:rPr>
                                        <m:rPr/>
                                        <m:t>i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hint="default" w:ascii="Cambria Math" w:hAnsi="Cambria Math" w:eastAsia="Cambria Math" w:cs="Cambria Math"/>
                                          <w:sz w:val="24"/>
                                          <w:szCs w:val="24"/>
                                          <w:highlight w:val="none"/>
                                          <w:lang w:val="ru-RU"/>
                                        </w:rPr>
                                        <m:rPr/>
                                        <m:t>1j</m:t>
                                      </m:r>
                                    </m:sub>
                                  </m:sSub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  <m:rPr/>
                                    <m:t>C</m:t>
                                  </m:r>
                                </m:e>
                                <m: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eastAsia="Cambria Math" w:cs="Cambria Math"/>
                                          <w:sz w:val="24"/>
                                          <w:szCs w:val="24"/>
                                          <w:highlight w:val="none"/>
                                          <w:lang w:val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hint="default" w:ascii="Cambria Math" w:hAnsi="Cambria Math" w:eastAsia="Cambria Math" w:cs="Cambria Math"/>
                                          <w:sz w:val="24"/>
                                          <w:szCs w:val="24"/>
                                          <w:highlight w:val="none"/>
                                          <w:lang w:val="ru-RU"/>
                                        </w:rPr>
                                        <m:rPr/>
                                        <m:t>i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hint="default" w:ascii="Cambria Math" w:hAnsi="Cambria Math" w:eastAsia="Cambria Math" w:cs="Cambria Math"/>
                                          <w:sz w:val="24"/>
                                          <w:szCs w:val="24"/>
                                          <w:highlight w:val="none"/>
                                          <w:lang w:val="ru-RU"/>
                                        </w:rPr>
                                        <m:rPr/>
                                        <m:t>2k</m:t>
                                      </m:r>
                                    </m:sub>
                                  </m:sSub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  <m:rPr/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  <m:rPr/>
                                    <m:t>jk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  <m:rPr/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  <w:highlight w:val="none"/>
                                      <w:lang w:val="ru-RU"/>
                                    </w:rPr>
                                    <m:rPr/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hint="default" w:ascii="Cambria Math" w:hAnsi="Cambria Math" w:eastAsia="Cambria Math" w:cs="Cambria Math"/>
                              <w:sz w:val="24"/>
                              <w:szCs w:val="24"/>
                              <w:highlight w:val="none"/>
                              <w:lang w:val="ru-RU"/>
                            </w:rPr>
                            <m:rPr/>
                            <m:t>)-&gt;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 w:eastAsia="Cambria Math" w:cs="Cambria Math"/>
                                  <w:sz w:val="24"/>
                                  <w:szCs w:val="24"/>
                                  <w:highlight w:val="none"/>
                                  <w:lang w:val="ru-RU"/>
                                </w:rPr>
                              </m:ctrlPr>
                            </m:funcPr>
                            <m:fName>
                              <m:r>
                                <w:rPr>
                                  <w:rFonts w:hint="default" w:ascii="Cambria Math" w:hAnsi="Cambria Math" w:eastAsia="Cambria Math" w:cs="Cambria Math"/>
                                  <w:sz w:val="24"/>
                                  <w:szCs w:val="24"/>
                                  <w:highlight w:val="none"/>
                                  <w:lang w:val="ru-RU"/>
                                </w:rPr>
                                <m:rPr>
                                  <m:sty m:val="p"/>
                                </m:rPr>
                                <m:t>min</m:t>
                              </m:r>
                            </m:fName>
                            <m:e>
                              <m:r>
                                <w:rPr>
                                  <w:rFonts w:hint="default" w:ascii="Cambria Math" w:hAnsi="Cambria Math" w:eastAsia="Cambria Math" w:cs="Cambria Math"/>
                                  <w:sz w:val="24"/>
                                  <w:szCs w:val="24"/>
                                </w:rPr>
                                <m:rPr/>
                                <m:t> </m:t>
                              </m:r>
                              <m:d>
                                <m:dPr>
                                  <m:begChr m:val="("/>
                                  <m:endChr m:val=")"/>
                                  <m:ctrlPr>
                                    <w:rPr>
                                      <w:rFonts w:ascii="Cambria Math" w:hAnsi="Cambria Math" w:eastAsia="Cambria Math" w:cs="Cambria Math"/>
                                      <w:sz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hint="default" w:ascii="Cambria Math" w:hAnsi="Cambria Math" w:eastAsia="Cambria Math" w:cs="Cambria Math"/>
                                      <w:sz w:val="24"/>
                                      <w:szCs w:val="24"/>
                                    </w:rPr>
                                    <m:rPr/>
                                    <m:t>5</m:t>
                                  </m:r>
                                </m:e>
                              </m:d>
                            </m:e>
                          </m:func>
                        </m:e>
                      </m:nary>
                    </m:e>
                  </m:nary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 </m:t>
                  </m:r>
                </m:e>
              </m:nary>
            </m:e>
          </m:nary>
        </m:oMath>
      </m:oMathPara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Para>
        <m:oMathParaPr/>
        <m:oMath>
          <m:nary>
            <m:naryPr>
              <m:chr m:val="∑"/>
              <m:grow m:val="off"/>
              <m:limLoc m:val="undOvr"/>
              <m:ctrlPr>
                <w:rPr>
                  <w:rFonts w:ascii="Cambria Math" w:hAnsi="Cambria Math" w:eastAsia="Cambria Math" w:cs="Cambria Math"/>
                  <w:i/>
                  <w:sz w:val="24"/>
                  <w:szCs w:val="24"/>
                  <w:highlight w:val="none"/>
                  <w:lang w:val="ru-RU"/>
                </w:rPr>
              </m:ctrlPr>
            </m:naryPr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>
                  <m:sty m:val="i"/>
                </m:rPr>
                <m:t>i=1</m:t>
              </m:r>
            </m:sub>
            <m:sup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>
                  <m:sty m:val="i"/>
                </m:rPr>
                <m:t>R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R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ij</m:t>
                  </m:r>
                </m:sub>
              </m:s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=1, j=1..t</m:t>
              </m:r>
            </m:e>
          </m:nary>
        </m:oMath>
      </m:oMathPara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Para>
        <m:oMathParaPr/>
        <m:oMath>
          <m:nary>
            <m:naryPr>
              <m:chr m:val="∑"/>
              <m:grow m:val="off"/>
              <m:limLoc m:val="undOvr"/>
              <m:ctrlPr>
                <w:rPr>
                  <w:rFonts w:ascii="Cambria Math" w:hAnsi="Cambria Math" w:eastAsia="Cambria Math" w:cs="Cambria Math"/>
                  <w:i/>
                  <w:sz w:val="24"/>
                  <w:szCs w:val="24"/>
                  <w:highlight w:val="none"/>
                  <w:lang w:val="ru-RU"/>
                </w:rPr>
              </m:ctrlPr>
            </m:naryPr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>
                  <m:sty m:val="i"/>
                </m:rPr>
                <m:t>i=1</m:t>
              </m:r>
            </m:sub>
            <m:sup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>
                  <m:sty m:val="i"/>
                </m:rPr>
                <m:t>E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P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ij</m:t>
                  </m:r>
                </m:sub>
              </m:s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=1, j=1..N</m:t>
              </m:r>
            </m:e>
          </m:nary>
        </m:oMath>
      </m:oMathPara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Para>
        <m:oMathParaPr/>
        <m:oMath>
          <m:nary>
            <m:naryPr>
              <m:chr m:val="∑"/>
              <m:grow m:val="off"/>
              <m:limLoc m:val="undOvr"/>
              <m:ctrlPr>
                <w:rPr>
                  <w:rFonts w:ascii="Cambria Math" w:hAnsi="Cambria Math" w:eastAsia="Cambria Math" w:cs="Cambria Math"/>
                  <w:i/>
                  <w:sz w:val="24"/>
                  <w:szCs w:val="24"/>
                  <w:highlight w:val="none"/>
                  <w:lang w:val="ru-RU"/>
                </w:rPr>
              </m:ctrlPr>
            </m:naryPr>
            <m: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>
                  <m:sty m:val="i"/>
                </m:rPr>
                <m:t>j=1</m:t>
              </m:r>
            </m:sub>
            <m:sup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>
                  <m:sty m:val="i"/>
                </m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C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/>
                    <m:t>ij</m:t>
                  </m:r>
                </m:sub>
              </m:sSub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=</m:t>
              </m:r>
              <m:f>
                <m:fPr>
                  <m:ctrlPr>
                    <w:rPr>
                      <w:rFonts w:ascii="Cambria Math" w:hAnsi="Cambria Math" w:eastAsia="Cambria Math" w:cs="Cambria Math"/>
                      <w:i/>
                      <w:sz w:val="24"/>
                      <w:szCs w:val="24"/>
                      <w:highlight w:val="none"/>
                      <w:lang w:val="ru-RU"/>
                    </w:rPr>
                  </m:ctrlPr>
                </m:fPr>
                <m:num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N</m:t>
                  </m:r>
                </m:num>
                <m:den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E</m:t>
                  </m:r>
                </m:den>
              </m:f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, i=1..t</m:t>
              </m:r>
            </m:e>
          </m:nary>
        </m:oMath>
      </m:oMathPara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Где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t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количество уникальных токенов,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N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количество экспертов на слой.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E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количество кластеров,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  <m:rPr>
                <m:sty m:val="i"/>
              </m:rPr>
              <m:t>a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ru-RU"/>
              </w:rPr>
              <m:rPr>
                <m:sty m:val="i"/>
              </m:rPr>
              <m:t>j</m:t>
            </m:r>
          </m:sub>
        </m:sSub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частота токена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en-US"/>
          </w:rPr>
          <m:rPr>
            <m:sty m:val="i"/>
          </m:rPr>
          <m:t>j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m:oMath>
        <m:sSub>
          <m:sSubPr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  <m:rPr>
                <m:sty m:val="i"/>
              </m:rPr>
              <m:t>P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  <m:rPr/>
              <m:t>jk</m:t>
            </m:r>
          </m:sub>
        </m:sSub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en-US"/>
          </w:rPr>
          <m:rPr/>
          <m:t> 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-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прогнозируемая вероятность того, что токен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j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активирует эксперта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k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  <m:rPr>
                <m:sty m:val="i"/>
              </m:rPr>
              <m:t>R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  <m:rPr>
                <m:sty m:val="i"/>
              </m:rPr>
              <m:t>ij</m:t>
            </m:r>
          </m:sub>
        </m:sSub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en-US"/>
          </w:rPr>
          <m:rPr/>
          <m:t>∈ {0,1}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- размещение токена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j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в кластере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i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4"/>
          <w:szCs w:val="24"/>
        </w:rPr>
      </w:r>
      <m:oMath>
        <m:sSub>
          <m:sSubPr>
            <m:ctrlPr>
              <w:rPr>
                <w:rFonts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  <m:rPr>
                <m:sty m:val="i"/>
              </m:rPr>
              <m:t>C</m:t>
            </m:r>
          </m:e>
          <m:sub>
            <m:r>
              <w:rPr>
                <w:rFonts w:hint="default" w:ascii="Cambria Math" w:hAnsi="Cambria Math" w:eastAsia="Cambria Math" w:cs="Cambria Math"/>
                <w:sz w:val="24"/>
                <w:szCs w:val="24"/>
                <w:highlight w:val="none"/>
                <w:lang w:val="en-US"/>
              </w:rPr>
              <m:rPr>
                <m:sty m:val="i"/>
              </m:rPr>
              <m:t>ij</m:t>
            </m:r>
          </m:sub>
        </m:sSub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en-US"/>
          </w:rPr>
          <m:rPr/>
          <m:t>∈ {0,1}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размещение эксперта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j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в кластере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highlight w:val="none"/>
            <w:lang w:val="ru-RU"/>
          </w:rPr>
          <m:rPr>
            <m:sty m:val="i"/>
          </m:rPr>
          <m:t>i</m:t>
        </m:r>
      </m:oMath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На рисунке 9 представлена карта частоты активаций эксперта в зависимости от токена на первом слое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DeepSeek-MoE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Bdr/>
        <w:spacing/>
        <w:ind w:firstLine="0"/>
        <w:jc w:val="center"/>
        <w:rPr>
          <w:rFonts w:ascii="Times New Roman" w:hAnsi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0198" cy="221485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3260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620197" cy="22148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42.54pt;height:174.4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  <w:lang w:val="ru-RU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9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Частота активации эксперта от токена на первом слое модели DeepSeek-MoE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Для моделирования связи между кластерами используется также модель на условных вероятностях: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>
              <m:sty m:val="i"/>
            </m:rPr>
            <m:t>P(</m:t>
          </m:r>
          <m:sSup>
            <m:sSupPr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</m:ctrlPr>
                </m:sSubPr>
                <m:e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D</m:t>
                  </m:r>
                </m:e>
                <m:sub>
                  <m:r>
                    <w:rPr>
                      <w:rFonts w:hint="default" w:ascii="Cambria Math" w:hAnsi="Cambria Math" w:eastAsia="Cambria Math" w:cs="Cambria Math"/>
                      <w:sz w:val="24"/>
                      <w:szCs w:val="24"/>
                      <w:highlight w:val="none"/>
                      <w:lang w:val="ru-RU"/>
                    </w:rPr>
                    <m:rPr>
                      <m:sty m:val="i"/>
                    </m:rPr>
                    <m:t>k</m:t>
                  </m:r>
                </m:sub>
              </m:sSub>
            </m:e>
            <m:sup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L</m:t>
              </m:r>
            </m:sup>
          </m:sSup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| </m:t>
          </m:r>
          <m:sSup>
            <m:sSupPr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D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L-1</m:t>
              </m:r>
            </m:sup>
          </m:sSup>
          <m:sSup>
            <m:sSupPr>
              <m:ctrlPr>
                <w:rPr>
                  <w:rFonts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,...,D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4"/>
                  <w:szCs w:val="24"/>
                  <w:highlight w:val="none"/>
                  <w:lang w:val="ru-RU"/>
                </w:rPr>
                <m:rPr/>
                <m:t>L-n</m:t>
              </m:r>
            </m:sup>
          </m:sSup>
          <m:r>
            <w:rPr>
              <w:rFonts w:hint="default" w:ascii="Cambria Math" w:hAnsi="Cambria Math" w:eastAsia="Cambria Math" w:cs="Cambria Math"/>
              <w:sz w:val="24"/>
              <w:szCs w:val="24"/>
              <w:highlight w:val="none"/>
              <w:lang w:val="ru-RU"/>
            </w:rPr>
            <m:rPr/>
            <m:t>) (6) </m:t>
          </m:r>
        </m:oMath>
      </m:oMathPara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Где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sz w:val="24"/>
                <w:lang w:val="ru-RU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sz w:val="24"/>
                <w:szCs w:val="24"/>
                <w:lang w:val="ru-RU"/>
              </w:rPr>
              <m:rPr>
                <m:sty m:val="i"/>
              </m:rPr>
              <m:t>D</m:t>
            </m:r>
          </m:e>
          <m:sup>
            <m:r>
              <w:rPr>
                <w:rFonts w:hint="default" w:ascii="Cambria Math" w:hAnsi="Cambria Math" w:eastAsia="Cambria Math" w:cs="Cambria Math"/>
                <w:lang w:val="ru-RU"/>
              </w:rPr>
              <m:rPr>
                <m:sty m:val="i"/>
              </m:rPr>
              <m:t>l</m:t>
            </m:r>
          </m:sup>
        </m:sSup>
      </m:oMath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индекс устройства, где выбранному эксперту соответствует 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ru-RU"/>
          </w:rPr>
          <m:rPr>
            <m:sty m:val="i"/>
          </m:rPr>
          <m:t>l</m:t>
        </m:r>
      </m:oMath>
      <w:r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-</w:t>
      </w:r>
      <w:r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й слой произвольного токена.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На рисунке 10 представлена карта частоты активаций эксперта на слое 5 в зависимости от активации эксперта на слое 4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Mixtral-8x7b.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>
      <w:pPr>
        <w:pBdr/>
        <w:spacing/>
        <w:ind w:firstLine="0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69634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06223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25696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02.3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Style w:val="905"/>
        <w:pBdr/>
        <w:spacing/>
        <w:ind/>
        <w:jc w:val="center"/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Рисунок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begin"/>
        <w:instrText xml:space="preserve"> SEQ Рисунок \* Arabic </w:instrText>
        <w:fldChar w:fldCharType="separate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10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fldChar w:fldCharType="end"/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. частота активаций эксперта на слое 5 в зависимости от активации эксперта на слое 4 Mixtral-8x7b. 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  <w:t xml:space="preserve">частоты активаций эксперта на слое 5 в зависимости от активации эксперта на слое 4 Mixtral-8x7b.</w:t>
      </w:r>
      <w:r>
        <w:rPr>
          <w:rFonts w:ascii="Times New Roman" w:hAnsi="Times New Roman" w:eastAsia="Times New Roman" w:cs="Times New Roman"/>
          <w:i w:val="0"/>
          <w:iCs w:val="0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bCs w:val="0"/>
          <w:i w:val="0"/>
          <w:color w:val="000000" w:themeColor="text1"/>
          <w:sz w:val="20"/>
          <w:szCs w:val="20"/>
        </w:rPr>
      </w:r>
    </w:p>
    <w:p>
      <w:pPr>
        <w:pBdr/>
        <w:shd w:val="nil"/>
        <w:spacing/>
        <w:ind/>
        <w:rPr/>
      </w:pPr>
      <w:r>
        <w:br w:type="page" w:clear="all"/>
      </w:r>
      <w:r/>
      <w:r/>
      <w:r/>
      <w:r/>
    </w:p>
    <w:p>
      <w:pPr>
        <w:pStyle w:val="867"/>
        <w:pBdr/>
        <w:spacing/>
        <w:ind/>
        <w:jc w:val="both"/>
        <w:rPr>
          <w:rFonts w:ascii="Times New Roman" w:hAnsi="Times New Roman" w:cs="Times New Roman"/>
        </w:rPr>
      </w:pPr>
      <w:r/>
      <w:bookmarkStart w:id="27" w:name="_Toc27"/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3.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Инструменты для реализации распределенного инференса</w:t>
      </w:r>
      <w:r/>
      <w:bookmarkEnd w:id="27"/>
      <w:r/>
      <w:r>
        <w:rPr>
          <w:rFonts w:ascii="Times New Roman" w:hAnsi="Times New Roman" w:cs="Times New Roman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 xml:space="preserve">В рамках работы рассмотрены три фреймворка, предоставляющих инструменты для распределенного инференса: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MindSpore [*], DeepSpeed [*], Megatron-LM[*].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Style w:val="868"/>
        <w:pBdr/>
        <w:spacing/>
        <w:ind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/>
      <w:bookmarkStart w:id="28" w:name="_Toc28"/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  <w:highlight w:val="none"/>
          <w:lang w:val="en-US"/>
        </w:rPr>
        <w:t xml:space="preserve">3.1. MindSpore</w:t>
      </w:r>
      <w:r/>
      <w:bookmarkEnd w:id="28"/>
      <w:r/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white"/>
        </w:rPr>
        <w:t xml:space="preserve">MindSpore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szCs w:val="24"/>
          <w:highlight w:val="white"/>
        </w:rPr>
        <w:t xml:space="preserve">— это открытая и гибкая вычислительная фреймворк-платформа для разработки и выполнения моделей искусственного интеллекта, созданная компанией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white"/>
        </w:rPr>
        <w:t xml:space="preserve">Huawei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szCs w:val="24"/>
          <w:highlight w:val="white"/>
        </w:rPr>
        <w:t xml:space="preserve">. Платформа распространяется с полностью открытым исходным кодом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ru-RU"/>
        </w:rPr>
        <w:t xml:space="preserve"> и, помимо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 xml:space="preserve">GPU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ru-RU"/>
        </w:rPr>
        <w:t xml:space="preserve">способна работать на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 xml:space="preserve">NPU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ru-RU"/>
        </w:rPr>
        <w:t xml:space="preserve">процессорах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 xml:space="preserve">Ascend.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szCs w:val="24"/>
          <w:highlight w:val="white"/>
        </w:rPr>
        <w:t xml:space="preserve">Одной из ключевых особенностей MindSpore является её способность выполнять распределённое обучение без использования сторонних библиотек, таких как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white"/>
        </w:rPr>
        <w:t xml:space="preserve">PyTorch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szCs w:val="24"/>
          <w:highlight w:val="white"/>
        </w:rPr>
        <w:t xml:space="preserve">, для реализации коллективных операций. Вместо этого платформа использует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white"/>
        </w:rPr>
        <w:t xml:space="preserve">библиотеку OpenMPI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whit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  <w:t xml:space="preserve">Однако, это также является и его проблемой, поскольку нет возможности применять оптимизации других фреймворков, созданных под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  <w:t xml:space="preserve">torch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  <w:t xml:space="preserve">, а также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  <w:t xml:space="preserve">некоторые инструменты, связанные с предоставлением обученных моделей могут быть недоступны.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MindSpore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обладает встроенной поддержкой продвинутых методов распараллеливания, включая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тензорный конвейерный параллелизм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и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экспертный параллелизм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, а также позволяет использовать их комбинации для эффективного масштабирования вычислений при обучении крупных моделей. Платформа также предоставляет унифицированное промежуточное представление модели —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MindIR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, которое выступает в роли абстрактной прослойки между Python- и C++-компонентами фреймворка, обеспечивая гибкость и переносимость моделей.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Кроме того, MindSpore поддерживает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lang w:val="en-US"/>
        </w:rPr>
        <w:t xml:space="preserve">JIT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 компиляцию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, позволяющую динамически оптимизировать выполнение функций, что способствует значительному ускорению вычислений и повышению общей производительности.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Несмотря на широкие функциональные возможности и высокую степень интеграции с аппаратными средствами, развитие фреймворка в настоящее время сосредоточено в первую очередь на поддержке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собственных чипов Huawei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, таких как серии Ascend. Поддержка устройств других производителей, в частности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GPU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, остаётся менее приоритетной: используются устаревшие версии технологий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lang w:val="en-US"/>
        </w:rPr>
        <w:t xml:space="preserve">,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что ограничивает возможность применения современных оптимизаций и библиотек NVIDIA.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Style w:val="868"/>
        <w:pBdr/>
        <w:spacing/>
        <w:ind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29" w:name="_Toc29"/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en-US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  <w:spacing w:val="5"/>
          <w:sz w:val="24"/>
          <w:highlight w:val="none"/>
          <w:lang w:val="en-US"/>
        </w:rPr>
        <w:t xml:space="preserve">3.2. DeepSpeed</w:t>
      </w:r>
      <w:r/>
      <w:bookmarkEnd w:id="29"/>
      <w:r/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b w:val="0"/>
          <w:bCs w:val="0"/>
          <w:color w:val="111827"/>
          <w:spacing w:val="5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DeepSpeed — это масштабируемая библиотека с открытым исходным кодом, разработанная Microsoft Research для ускорения и оптимизации процесса обучения глубоких нейронных сетей. Она предоставляет мощные инструменты для эффективного использования вычислительных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 ресурсов, что особенно важно при работе с крупномасштабными моделями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  <w:t xml:space="preserve">Реализована при помощи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  <w:t xml:space="preserve">torch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  <w:t xml:space="preserve">, благодаря чему способно использовать множество оптимизаций. К тому же хорошо интегрируется с другими фреймворками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  <w:t xml:space="preserve">HuggingFace transformers, Fairseq, Megatron-LM, Lightnig AI.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color w:val="2c2c36"/>
          <w:spacing w:val="5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  <w:t xml:space="preserve">Deespeed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  <w:t xml:space="preserve">поддерживает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ru-RU"/>
        </w:rPr>
        <w:t xml:space="preserve">конвейерный и экспертный параллелизм.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</w:rPr>
        <w:t xml:space="preserve">Также благодаря технологии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en-US"/>
        </w:rPr>
        <w:t xml:space="preserve">ZeRO-inference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ru-RU"/>
        </w:rPr>
        <w:t xml:space="preserve"> способен выгружать части модели на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en-US"/>
        </w:rPr>
        <w:t xml:space="preserve">CPU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ru-RU"/>
        </w:rPr>
        <w:t xml:space="preserve">и диск. При этом используется библиотека для асинхронной передачи данных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ru-RU"/>
        </w:rPr>
        <w:t xml:space="preserve">между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en-US"/>
        </w:rPr>
        <w:t xml:space="preserve">RAM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ru-RU"/>
        </w:rPr>
        <w:t xml:space="preserve">и дисковой памятью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en-US"/>
        </w:rPr>
        <w:t xml:space="preserve">DeepNVMe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ru-RU"/>
        </w:rPr>
        <w:t xml:space="preserve">, что дает возможность перекрывать коммуникационные операции вычислительными и существенно повысить скорость инференса.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szCs w:val="24"/>
          <w:highlight w:val="none"/>
          <w:lang w:val="en-US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Еще одним важным преимуществом DeepSpeed является поддержка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тензорного параллелизма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для моделей из библиотеки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Hugging Face Transformers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с возможностью его применения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«на лету»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, без предварительной модификации архитектуры. Это позволяет эффективно распределять вычисления между GPU, обеспечивая масштабируемость и высокую производительность.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Однако такой подход связан с увеличением потребления памяти из-за дублирования данных и межпроцессного взаимодействия. В других фреймворках использование тензорного параллелизма, как правило, требует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предварительного разбиения модели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вручную, что усложняет интеграцию и снижает гибкость.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  <w:t xml:space="preserve">Однако стоит отметить, что данный инструмент еще достаточно сырой и возникает множество проблем с его использованием. К примеру, нет возможности использования тензорного параллелизма вместе с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en-US"/>
        </w:rPr>
        <w:t xml:space="preserve">ZeRO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  <w:t xml:space="preserve">, из-за чего приходится использовать дополнительные фреймворки по типу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en-US"/>
        </w:rPr>
        <w:t xml:space="preserve">Megatron-LM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Следует отметить, что несмотря на широкие возможности DeepSpeed, инструмент всё ещё находится на этапе активной разработки и в ряде аспектов является недостаточно зрелым. Это проявляется в виде различных ограничений и сложностей при практическом использова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нии. Например, на текущий момент отсутствует полноценная поддержка одновременного использования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тензорного параллелизма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и технологии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ZeRO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, что сужает возможности для эффективного масштабирования моделей на больших кластерах.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В связи с этим, для реализации более сложных сценариев распределённого обучения, таких как гибридный параллелизм с высокой степенью оптимизации, зачастую приходится прибегать к дополнительным фреймворкам, таким как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</w:rPr>
        <w:t xml:space="preserve">Megatron-LM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</w:rPr>
        <w:t xml:space="preserve">, которые обеспечивают необходимый уровень гибкости и производительности.</w:t>
      </w:r>
      <w:r>
        <w:rPr>
          <w:rFonts w:ascii="Times New Roman" w:hAnsi="Times New Roman" w:eastAsia="Times New Roman" w:cs="Times New Roman"/>
          <w:b w:val="0"/>
          <w:bCs w:val="0"/>
        </w:rPr>
      </w:r>
    </w:p>
    <w:p>
      <w:pPr>
        <w:pStyle w:val="868"/>
        <w:pBdr/>
        <w:spacing/>
        <w:ind/>
        <w:rPr>
          <w:rFonts w:ascii="Times New Roman" w:hAnsi="Times New Roman" w:cs="Times New Roman"/>
          <w:b/>
          <w:bCs/>
          <w:sz w:val="24"/>
          <w:szCs w:val="24"/>
        </w:rPr>
      </w:pPr>
      <w:r/>
      <w:bookmarkStart w:id="30" w:name="_Toc30"/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</w:rPr>
        <w:tab/>
      </w:r>
      <w:r>
        <w:rPr>
          <w:rFonts w:ascii="Times New Roman" w:hAnsi="Times New Roman" w:eastAsia="Times New Roman" w:cs="Times New Roman"/>
          <w:b/>
          <w:bCs/>
          <w:color w:val="2c2c36"/>
          <w:spacing w:val="5"/>
          <w:sz w:val="24"/>
          <w:highlight w:val="none"/>
        </w:rPr>
        <w:t xml:space="preserve">3.3. </w:t>
      </w:r>
      <w:r>
        <w:rPr>
          <w:rFonts w:ascii="Times New Roman" w:hAnsi="Times New Roman" w:eastAsia="Times New Roman" w:cs="Times New Roman"/>
          <w:b/>
          <w:bCs/>
          <w:color w:val="2c2c36"/>
          <w:spacing w:val="5"/>
          <w:sz w:val="24"/>
          <w:highlight w:val="none"/>
          <w:lang w:val="en-US"/>
        </w:rPr>
        <w:t xml:space="preserve">Megatron-LM</w:t>
      </w:r>
      <w:bookmarkEnd w:id="30"/>
      <w:r/>
      <w:r>
        <w:rPr>
          <w:rFonts w:ascii="Times New Roman" w:hAnsi="Times New Roman" w:eastAsia="Times New Roman" w:cs="Times New Roman"/>
          <w:b/>
          <w:bCs/>
          <w:color w:val="2c2c36"/>
          <w:spacing w:val="5"/>
          <w:sz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/>
          <w:color w:val="111827"/>
          <w:spacing w:val="5"/>
          <w:sz w:val="24"/>
          <w:highlight w:val="white"/>
        </w:rPr>
        <w:t xml:space="preserve">Megatron-LM 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— это исследовательский проект, разработанный компанией NVIDIA, предназначенный для эффективного обучения крупномасштабных языковых моделей на основе архитектуры Transformer. Фреймворк изначально ориентирован на решение задачи масштабирования моделей по чи</w:t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white"/>
        </w:rPr>
        <w:t xml:space="preserve">слу параметров и вычислительных ресурсов, что делает его особенно актуальным в условиях роста сложности современных моделей глубокого обучения.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en-US"/>
        </w:rPr>
        <w:t xml:space="preserve">Megatron-LM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  <w:t xml:space="preserve">поддерживает два вида параллелизма: конвейерный и тензорный. К тому же имеет имеет тесную интеграцию с оборудованием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en-US"/>
        </w:rPr>
        <w:t xml:space="preserve">NVIDIA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  <w:t xml:space="preserve">, благодаря чему может использовать множество оптимизаций. Может хорошо интегрироваться с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en-US"/>
        </w:rPr>
        <w:t xml:space="preserve">DeepSpeed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  <w:t xml:space="preserve">, благодаря чему существует возможность обучать такие модели как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111827"/>
          <w:spacing w:val="5"/>
          <w:sz w:val="24"/>
          <w:highlight w:val="white"/>
        </w:rPr>
        <w:t xml:space="preserve">Megatron-Turing NLG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</w:r>
    </w:p>
    <w:p>
      <w:pPr>
        <w:pBdr>
          <w:top w:val="single" w:color="e3e3e3" w:sz="0" w:space="0"/>
          <w:left w:val="single" w:color="e3e3e3" w:sz="0" w:space="0"/>
          <w:bottom w:val="single" w:color="e3e3e3" w:sz="0" w:space="0"/>
          <w:right w:val="single" w:color="e3e3e3" w:sz="0" w:space="0"/>
        </w:pBdr>
        <w:shd w:val="clear" w:color="ffffff" w:fill="ffffff"/>
        <w:spacing w:after="180" w:before="180"/>
        <w:ind w:right="0" w:firstLine="708" w:left="0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  <w:t xml:space="preserve">Однако, имеет две важные проблемы. 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white"/>
        </w:rPr>
        <w:t xml:space="preserve">Во-первых, он требует значительного уровня экспертизы в области распределённого обучения и программирования на уровне GPU.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  <w:t xml:space="preserve"> Во-вторых, этот инструмент изначально разрабатывался для обучения моделей, вследствие чего многие инструменты для ускорения инференса недоступны и их необходимо реализовывать самостоятельно.</w:t>
      </w:r>
      <w:r>
        <w:rPr>
          <w:rFonts w:ascii="Times New Roman" w:hAnsi="Times New Roman" w:eastAsia="Times New Roman" w:cs="Times New Roman"/>
          <w:b w:val="0"/>
          <w:bCs w:val="0"/>
          <w:color w:val="2c2c36"/>
          <w:spacing w:val="5"/>
          <w:sz w:val="24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cs="Times New Roman"/>
          <w:color w:val="2c2c36"/>
          <w:spacing w:val="5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color w:val="2c2c36"/>
          <w:spacing w:val="5"/>
          <w:sz w:val="24"/>
          <w:highlight w:val="none"/>
          <w:lang w:val="en-US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Bdr/>
        <w:spacing/>
        <w:ind w:firstLine="0"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Bdr/>
        <w:spacing/>
        <w:ind w:firstLine="708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sz w:val="24"/>
          <w:szCs w:val="24"/>
        </w:rPr>
      </w:r>
    </w:p>
    <w:sectPr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3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9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212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96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74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146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218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290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362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434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064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"/>
    <w:basedOn w:val="92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Table Grid Light"/>
    <w:basedOn w:val="9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1"/>
    <w:basedOn w:val="9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2"/>
    <w:basedOn w:val="9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"/>
    <w:basedOn w:val="9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9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9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9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9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9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9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1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2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3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4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5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6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1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2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3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4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5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6"/>
    <w:basedOn w:val="9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1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2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3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4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5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6"/>
    <w:basedOn w:val="9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7">
    <w:name w:val="Heading 1"/>
    <w:basedOn w:val="925"/>
    <w:next w:val="925"/>
    <w:link w:val="8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8">
    <w:name w:val="Heading 2"/>
    <w:basedOn w:val="925"/>
    <w:next w:val="925"/>
    <w:link w:val="8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9">
    <w:name w:val="Heading 3"/>
    <w:basedOn w:val="925"/>
    <w:next w:val="925"/>
    <w:link w:val="8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0">
    <w:name w:val="Heading 4"/>
    <w:basedOn w:val="925"/>
    <w:next w:val="925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1">
    <w:name w:val="Heading 5"/>
    <w:basedOn w:val="925"/>
    <w:next w:val="925"/>
    <w:link w:val="8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2">
    <w:name w:val="Heading 6"/>
    <w:basedOn w:val="925"/>
    <w:next w:val="925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3">
    <w:name w:val="Heading 7"/>
    <w:basedOn w:val="925"/>
    <w:next w:val="925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4">
    <w:name w:val="Heading 8"/>
    <w:basedOn w:val="925"/>
    <w:next w:val="925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5">
    <w:name w:val="Heading 9"/>
    <w:basedOn w:val="925"/>
    <w:next w:val="925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6" w:default="1">
    <w:name w:val="Default Paragraph Font"/>
    <w:uiPriority w:val="1"/>
    <w:semiHidden/>
    <w:unhideWhenUsed/>
    <w:pPr>
      <w:pBdr/>
      <w:spacing/>
      <w:ind/>
    </w:pPr>
  </w:style>
  <w:style w:type="character" w:styleId="877">
    <w:name w:val="Heading 1 Char"/>
    <w:basedOn w:val="876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8">
    <w:name w:val="Heading 2 Char"/>
    <w:basedOn w:val="876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876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876"/>
    <w:link w:val="8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876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876"/>
    <w:link w:val="8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876"/>
    <w:link w:val="8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876"/>
    <w:link w:val="8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876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Title"/>
    <w:basedOn w:val="925"/>
    <w:next w:val="925"/>
    <w:link w:val="8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7">
    <w:name w:val="Title Char"/>
    <w:basedOn w:val="876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8">
    <w:name w:val="Subtitle"/>
    <w:basedOn w:val="925"/>
    <w:next w:val="925"/>
    <w:link w:val="8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9">
    <w:name w:val="Subtitle Char"/>
    <w:basedOn w:val="876"/>
    <w:link w:val="8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0">
    <w:name w:val="Quote"/>
    <w:basedOn w:val="925"/>
    <w:next w:val="925"/>
    <w:link w:val="8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1">
    <w:name w:val="Quote Char"/>
    <w:basedOn w:val="876"/>
    <w:link w:val="8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Intense Emphasis"/>
    <w:basedOn w:val="8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925"/>
    <w:next w:val="925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876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8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6">
    <w:name w:val="Subtle Emphasis"/>
    <w:basedOn w:val="8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7">
    <w:name w:val="Emphasis"/>
    <w:basedOn w:val="876"/>
    <w:uiPriority w:val="20"/>
    <w:qFormat/>
    <w:pPr>
      <w:pBdr/>
      <w:spacing/>
      <w:ind/>
    </w:pPr>
    <w:rPr>
      <w:i/>
      <w:iCs/>
    </w:rPr>
  </w:style>
  <w:style w:type="character" w:styleId="898">
    <w:name w:val="Strong"/>
    <w:basedOn w:val="876"/>
    <w:uiPriority w:val="22"/>
    <w:qFormat/>
    <w:pPr>
      <w:pBdr/>
      <w:spacing/>
      <w:ind/>
    </w:pPr>
    <w:rPr>
      <w:b/>
      <w:bCs/>
    </w:rPr>
  </w:style>
  <w:style w:type="character" w:styleId="899">
    <w:name w:val="Subtle Reference"/>
    <w:basedOn w:val="8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0">
    <w:name w:val="Book Title"/>
    <w:basedOn w:val="8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1">
    <w:name w:val="Header"/>
    <w:basedOn w:val="925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Header Char"/>
    <w:basedOn w:val="876"/>
    <w:link w:val="901"/>
    <w:uiPriority w:val="99"/>
    <w:pPr>
      <w:pBdr/>
      <w:spacing/>
      <w:ind/>
    </w:pPr>
  </w:style>
  <w:style w:type="paragraph" w:styleId="903">
    <w:name w:val="Footer"/>
    <w:basedOn w:val="925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876"/>
    <w:link w:val="903"/>
    <w:uiPriority w:val="99"/>
    <w:pPr>
      <w:pBdr/>
      <w:spacing/>
      <w:ind/>
    </w:pPr>
  </w:style>
  <w:style w:type="paragraph" w:styleId="905">
    <w:name w:val="Caption"/>
    <w:basedOn w:val="925"/>
    <w:next w:val="92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5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876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876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5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876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876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87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8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1"/>
    <w:basedOn w:val="925"/>
    <w:next w:val="925"/>
    <w:uiPriority w:val="39"/>
    <w:unhideWhenUsed/>
    <w:pPr>
      <w:pBdr/>
      <w:spacing w:after="100"/>
      <w:ind/>
    </w:pPr>
  </w:style>
  <w:style w:type="paragraph" w:styleId="915">
    <w:name w:val="toc 2"/>
    <w:basedOn w:val="925"/>
    <w:next w:val="925"/>
    <w:uiPriority w:val="39"/>
    <w:unhideWhenUsed/>
    <w:pPr>
      <w:pBdr/>
      <w:spacing w:after="100"/>
      <w:ind w:left="220"/>
    </w:pPr>
  </w:style>
  <w:style w:type="paragraph" w:styleId="916">
    <w:name w:val="toc 3"/>
    <w:basedOn w:val="925"/>
    <w:next w:val="925"/>
    <w:uiPriority w:val="39"/>
    <w:unhideWhenUsed/>
    <w:pPr>
      <w:pBdr/>
      <w:spacing w:after="100"/>
      <w:ind w:left="440"/>
    </w:pPr>
  </w:style>
  <w:style w:type="paragraph" w:styleId="917">
    <w:name w:val="toc 4"/>
    <w:basedOn w:val="925"/>
    <w:next w:val="925"/>
    <w:uiPriority w:val="39"/>
    <w:unhideWhenUsed/>
    <w:pPr>
      <w:pBdr/>
      <w:spacing w:after="100"/>
      <w:ind w:left="660"/>
    </w:pPr>
  </w:style>
  <w:style w:type="paragraph" w:styleId="918">
    <w:name w:val="toc 5"/>
    <w:basedOn w:val="925"/>
    <w:next w:val="925"/>
    <w:uiPriority w:val="39"/>
    <w:unhideWhenUsed/>
    <w:pPr>
      <w:pBdr/>
      <w:spacing w:after="100"/>
      <w:ind w:left="880"/>
    </w:pPr>
  </w:style>
  <w:style w:type="paragraph" w:styleId="919">
    <w:name w:val="toc 6"/>
    <w:basedOn w:val="925"/>
    <w:next w:val="925"/>
    <w:uiPriority w:val="39"/>
    <w:unhideWhenUsed/>
    <w:pPr>
      <w:pBdr/>
      <w:spacing w:after="100"/>
      <w:ind w:left="1100"/>
    </w:pPr>
  </w:style>
  <w:style w:type="paragraph" w:styleId="920">
    <w:name w:val="toc 7"/>
    <w:basedOn w:val="925"/>
    <w:next w:val="925"/>
    <w:uiPriority w:val="39"/>
    <w:unhideWhenUsed/>
    <w:pPr>
      <w:pBdr/>
      <w:spacing w:after="100"/>
      <w:ind w:left="1320"/>
    </w:pPr>
  </w:style>
  <w:style w:type="paragraph" w:styleId="921">
    <w:name w:val="toc 8"/>
    <w:basedOn w:val="925"/>
    <w:next w:val="925"/>
    <w:uiPriority w:val="39"/>
    <w:unhideWhenUsed/>
    <w:pPr>
      <w:pBdr/>
      <w:spacing w:after="100"/>
      <w:ind w:left="1540"/>
    </w:pPr>
  </w:style>
  <w:style w:type="paragraph" w:styleId="922">
    <w:name w:val="toc 9"/>
    <w:basedOn w:val="925"/>
    <w:next w:val="925"/>
    <w:uiPriority w:val="39"/>
    <w:unhideWhenUsed/>
    <w:pPr>
      <w:pBdr/>
      <w:spacing w:after="100"/>
      <w:ind w:left="1760"/>
    </w:pPr>
  </w:style>
  <w:style w:type="paragraph" w:styleId="923">
    <w:name w:val="TOC Heading"/>
    <w:uiPriority w:val="39"/>
    <w:unhideWhenUsed/>
    <w:pPr>
      <w:pBdr/>
      <w:spacing/>
      <w:ind/>
    </w:pPr>
  </w:style>
  <w:style w:type="paragraph" w:styleId="924">
    <w:name w:val="table of figures"/>
    <w:basedOn w:val="925"/>
    <w:next w:val="925"/>
    <w:uiPriority w:val="99"/>
    <w:unhideWhenUsed/>
    <w:pPr>
      <w:pBdr/>
      <w:spacing w:after="0" w:afterAutospacing="0"/>
      <w:ind/>
    </w:pPr>
  </w:style>
  <w:style w:type="paragraph" w:styleId="925" w:default="1">
    <w:name w:val="Normal"/>
    <w:qFormat/>
    <w:pPr>
      <w:pBdr/>
      <w:spacing/>
      <w:ind/>
    </w:pPr>
  </w:style>
  <w:style w:type="table" w:styleId="92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7" w:default="1">
    <w:name w:val="No List"/>
    <w:uiPriority w:val="99"/>
    <w:semiHidden/>
    <w:unhideWhenUsed/>
    <w:pPr>
      <w:pBdr/>
      <w:spacing/>
      <w:ind/>
    </w:pPr>
  </w:style>
  <w:style w:type="paragraph" w:styleId="928">
    <w:name w:val="No Spacing"/>
    <w:basedOn w:val="925"/>
    <w:uiPriority w:val="1"/>
    <w:qFormat/>
    <w:pPr>
      <w:pBdr/>
      <w:spacing w:after="0" w:line="240" w:lineRule="auto"/>
      <w:ind/>
    </w:pPr>
  </w:style>
  <w:style w:type="paragraph" w:styleId="929">
    <w:name w:val="List Paragraph"/>
    <w:basedOn w:val="925"/>
    <w:uiPriority w:val="34"/>
    <w:qFormat/>
    <w:pPr>
      <w:pBdr/>
      <w:spacing/>
      <w:ind w:left="720"/>
      <w:contextualSpacing w:val="true"/>
    </w:pPr>
  </w:style>
  <w:style w:type="table" w:styleId="930" w:customStyle="1">
    <w:name w:val="StGen0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60" w:afterAutospacing="0" w:before="0" w:beforeAutospacing="0" w:line="256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zh-CN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00" w:type="dxa"/>
        <w:top w:w="100" w:type="dxa"/>
        <w:right w:w="100" w:type="dxa"/>
        <w:bottom w:w="10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9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Table Grid"/>
    <w:basedOn w:val="1395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Table Grid Light"/>
    <w:basedOn w:val="139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Plain Table 1"/>
    <w:basedOn w:val="139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Plain Table 2"/>
    <w:basedOn w:val="139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Plain Table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Plain Table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Plain Table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1 Light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1 Light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1 Light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1 Light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1 Light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1 Light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1 Light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2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2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2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2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2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2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3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3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3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3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3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3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4"/>
    <w:basedOn w:val="13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4 - Accent 1"/>
    <w:basedOn w:val="13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4 - Accent 2"/>
    <w:basedOn w:val="13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4 - Accent 3"/>
    <w:basedOn w:val="13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4 - Accent 4"/>
    <w:basedOn w:val="13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4 - Accent 5"/>
    <w:basedOn w:val="13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4 - Accent 6"/>
    <w:basedOn w:val="13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5 Dark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5 Dark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5 Dark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5 Dark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5 Dark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5 Dark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5 Dark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6 Colorful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6 Colorful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6 Colorful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6 Colorful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6 Colorful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6 Colorful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6 Colorful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7 Colorful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7 Colorful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7 Colorful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7 Colorful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7 Colorful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7 Colorful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7 Colorful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1 Light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1 Light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1 Light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1 Light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1 Light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1 Light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1 Light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2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2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2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2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2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2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3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3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3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3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3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3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4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4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4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4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4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4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5 Dark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5 Dark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5 Dark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5 Dark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5 Dark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5 Dark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5 Dark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6 Colorful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6 Colorful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6 Colorful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6 Colorful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6 Colorful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6 Colorful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6 Colorful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7 Colorful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7 Colorful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7 Colorful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7 Colorful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7 Colorful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7 Colorful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7 Colorful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ned - Accent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ned - Accent 1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ned - Accent 2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ned - Accent 3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ned - Accent 4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ned - Accent 5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ned - Accent 6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Bordered &amp; Lined - Accent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Bordered &amp; Lined - Accent 1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Bordered &amp; Lined - Accent 2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Bordered &amp; Lined - Accent 3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Bordered &amp; Lined - Accent 4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Bordered &amp; Lined - Accent 5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Bordered &amp; Lined - Accent 6"/>
    <w:basedOn w:val="13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Bordered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Bordered - Accent 1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Bordered - Accent 2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Bordered - Accent 3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Bordered - Accent 4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Bordered - Accent 5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Bordered - Accent 6"/>
    <w:basedOn w:val="13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22" w:default="1">
    <w:name w:val="Normal"/>
    <w:qFormat/>
    <w:pPr>
      <w:pBdr/>
      <w:spacing/>
      <w:ind/>
    </w:pPr>
  </w:style>
  <w:style w:type="paragraph" w:styleId="1523">
    <w:name w:val="Heading 1"/>
    <w:basedOn w:val="1522"/>
    <w:next w:val="1522"/>
    <w:link w:val="153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24">
    <w:name w:val="Heading 2"/>
    <w:basedOn w:val="1522"/>
    <w:next w:val="1522"/>
    <w:link w:val="153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25">
    <w:name w:val="Heading 3"/>
    <w:basedOn w:val="1522"/>
    <w:next w:val="1522"/>
    <w:link w:val="153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26">
    <w:name w:val="Heading 4"/>
    <w:basedOn w:val="1522"/>
    <w:next w:val="1522"/>
    <w:link w:val="153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27">
    <w:name w:val="Heading 5"/>
    <w:basedOn w:val="1522"/>
    <w:next w:val="1522"/>
    <w:link w:val="153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28">
    <w:name w:val="Heading 6"/>
    <w:basedOn w:val="1522"/>
    <w:next w:val="1522"/>
    <w:link w:val="153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29">
    <w:name w:val="Heading 7"/>
    <w:basedOn w:val="1522"/>
    <w:next w:val="1522"/>
    <w:link w:val="154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30">
    <w:name w:val="Heading 8"/>
    <w:basedOn w:val="1522"/>
    <w:next w:val="1522"/>
    <w:link w:val="154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31">
    <w:name w:val="Heading 9"/>
    <w:basedOn w:val="1522"/>
    <w:next w:val="1522"/>
    <w:link w:val="154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32" w:default="1">
    <w:name w:val="Default Paragraph Font"/>
    <w:uiPriority w:val="1"/>
    <w:semiHidden/>
    <w:unhideWhenUsed/>
    <w:pPr>
      <w:pBdr/>
      <w:spacing/>
      <w:ind/>
    </w:pPr>
  </w:style>
  <w:style w:type="numbering" w:styleId="1533" w:default="1">
    <w:name w:val="No List"/>
    <w:uiPriority w:val="99"/>
    <w:semiHidden/>
    <w:unhideWhenUsed/>
    <w:pPr>
      <w:pBdr/>
      <w:spacing/>
      <w:ind/>
    </w:pPr>
  </w:style>
  <w:style w:type="character" w:styleId="1534">
    <w:name w:val="Heading 1 Char"/>
    <w:basedOn w:val="1532"/>
    <w:link w:val="15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35">
    <w:name w:val="Heading 2 Char"/>
    <w:basedOn w:val="1532"/>
    <w:link w:val="15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36">
    <w:name w:val="Heading 3 Char"/>
    <w:basedOn w:val="1532"/>
    <w:link w:val="15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7">
    <w:name w:val="Heading 4 Char"/>
    <w:basedOn w:val="1532"/>
    <w:link w:val="15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8">
    <w:name w:val="Heading 5 Char"/>
    <w:basedOn w:val="1532"/>
    <w:link w:val="15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39">
    <w:name w:val="Heading 6 Char"/>
    <w:basedOn w:val="1532"/>
    <w:link w:val="15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40">
    <w:name w:val="Heading 7 Char"/>
    <w:basedOn w:val="1532"/>
    <w:link w:val="15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41">
    <w:name w:val="Heading 8 Char"/>
    <w:basedOn w:val="1532"/>
    <w:link w:val="15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2">
    <w:name w:val="Heading 9 Char"/>
    <w:basedOn w:val="1532"/>
    <w:link w:val="15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43">
    <w:name w:val="Title"/>
    <w:basedOn w:val="1522"/>
    <w:next w:val="1522"/>
    <w:link w:val="154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44">
    <w:name w:val="Title Char"/>
    <w:basedOn w:val="1532"/>
    <w:link w:val="154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45">
    <w:name w:val="Subtitle"/>
    <w:basedOn w:val="1522"/>
    <w:next w:val="1522"/>
    <w:link w:val="154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46">
    <w:name w:val="Subtitle Char"/>
    <w:basedOn w:val="1532"/>
    <w:link w:val="154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47">
    <w:name w:val="Quote"/>
    <w:basedOn w:val="1522"/>
    <w:next w:val="1522"/>
    <w:link w:val="15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48">
    <w:name w:val="Quote Char"/>
    <w:basedOn w:val="1532"/>
    <w:link w:val="15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49">
    <w:name w:val="List Paragraph"/>
    <w:basedOn w:val="1522"/>
    <w:uiPriority w:val="34"/>
    <w:qFormat/>
    <w:pPr>
      <w:pBdr/>
      <w:spacing/>
      <w:ind w:left="720"/>
      <w:contextualSpacing w:val="true"/>
    </w:pPr>
  </w:style>
  <w:style w:type="character" w:styleId="1550">
    <w:name w:val="Intense Emphasis"/>
    <w:basedOn w:val="153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51">
    <w:name w:val="Intense Quote"/>
    <w:basedOn w:val="1522"/>
    <w:next w:val="1522"/>
    <w:link w:val="15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52">
    <w:name w:val="Intense Quote Char"/>
    <w:basedOn w:val="1532"/>
    <w:link w:val="15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53">
    <w:name w:val="Intense Reference"/>
    <w:basedOn w:val="153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54">
    <w:name w:val="No Spacing"/>
    <w:basedOn w:val="1522"/>
    <w:uiPriority w:val="1"/>
    <w:qFormat/>
    <w:pPr>
      <w:pBdr/>
      <w:spacing w:after="0" w:line="240" w:lineRule="auto"/>
      <w:ind/>
    </w:pPr>
  </w:style>
  <w:style w:type="character" w:styleId="1555">
    <w:name w:val="Subtle Emphasis"/>
    <w:basedOn w:val="15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56">
    <w:name w:val="Emphasis"/>
    <w:basedOn w:val="1532"/>
    <w:uiPriority w:val="20"/>
    <w:qFormat/>
    <w:pPr>
      <w:pBdr/>
      <w:spacing/>
      <w:ind/>
    </w:pPr>
    <w:rPr>
      <w:i/>
      <w:iCs/>
    </w:rPr>
  </w:style>
  <w:style w:type="character" w:styleId="1557">
    <w:name w:val="Strong"/>
    <w:basedOn w:val="1532"/>
    <w:uiPriority w:val="22"/>
    <w:qFormat/>
    <w:pPr>
      <w:pBdr/>
      <w:spacing/>
      <w:ind/>
    </w:pPr>
    <w:rPr>
      <w:b/>
      <w:bCs/>
    </w:rPr>
  </w:style>
  <w:style w:type="character" w:styleId="1558">
    <w:name w:val="Subtle Reference"/>
    <w:basedOn w:val="15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9">
    <w:name w:val="Book Title"/>
    <w:basedOn w:val="153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60">
    <w:name w:val="Header"/>
    <w:basedOn w:val="1522"/>
    <w:link w:val="15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61">
    <w:name w:val="Header Char"/>
    <w:basedOn w:val="1532"/>
    <w:link w:val="1560"/>
    <w:uiPriority w:val="99"/>
    <w:pPr>
      <w:pBdr/>
      <w:spacing/>
      <w:ind/>
    </w:pPr>
  </w:style>
  <w:style w:type="paragraph" w:styleId="1562">
    <w:name w:val="Footer"/>
    <w:basedOn w:val="1522"/>
    <w:link w:val="15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63">
    <w:name w:val="Footer Char"/>
    <w:basedOn w:val="1532"/>
    <w:link w:val="1562"/>
    <w:uiPriority w:val="99"/>
    <w:pPr>
      <w:pBdr/>
      <w:spacing/>
      <w:ind/>
    </w:pPr>
  </w:style>
  <w:style w:type="paragraph" w:styleId="1564">
    <w:name w:val="Caption"/>
    <w:basedOn w:val="1522"/>
    <w:next w:val="152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65">
    <w:name w:val="footnote text"/>
    <w:basedOn w:val="1522"/>
    <w:link w:val="15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6">
    <w:name w:val="Footnote Text Char"/>
    <w:basedOn w:val="1532"/>
    <w:link w:val="1565"/>
    <w:uiPriority w:val="99"/>
    <w:semiHidden/>
    <w:pPr>
      <w:pBdr/>
      <w:spacing/>
      <w:ind/>
    </w:pPr>
    <w:rPr>
      <w:sz w:val="20"/>
      <w:szCs w:val="20"/>
    </w:rPr>
  </w:style>
  <w:style w:type="character" w:styleId="1567">
    <w:name w:val="footnote reference"/>
    <w:basedOn w:val="1532"/>
    <w:uiPriority w:val="99"/>
    <w:semiHidden/>
    <w:unhideWhenUsed/>
    <w:pPr>
      <w:pBdr/>
      <w:spacing/>
      <w:ind/>
    </w:pPr>
    <w:rPr>
      <w:vertAlign w:val="superscript"/>
    </w:rPr>
  </w:style>
  <w:style w:type="paragraph" w:styleId="1568">
    <w:name w:val="endnote text"/>
    <w:basedOn w:val="1522"/>
    <w:link w:val="15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9">
    <w:name w:val="Endnote Text Char"/>
    <w:basedOn w:val="1532"/>
    <w:link w:val="1568"/>
    <w:uiPriority w:val="99"/>
    <w:semiHidden/>
    <w:pPr>
      <w:pBdr/>
      <w:spacing/>
      <w:ind/>
    </w:pPr>
    <w:rPr>
      <w:sz w:val="20"/>
      <w:szCs w:val="20"/>
    </w:rPr>
  </w:style>
  <w:style w:type="character" w:styleId="1570">
    <w:name w:val="endnote reference"/>
    <w:basedOn w:val="1532"/>
    <w:uiPriority w:val="99"/>
    <w:semiHidden/>
    <w:unhideWhenUsed/>
    <w:pPr>
      <w:pBdr/>
      <w:spacing/>
      <w:ind/>
    </w:pPr>
    <w:rPr>
      <w:vertAlign w:val="superscript"/>
    </w:rPr>
  </w:style>
  <w:style w:type="character" w:styleId="1571">
    <w:name w:val="Hyperlink"/>
    <w:basedOn w:val="153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72">
    <w:name w:val="FollowedHyperlink"/>
    <w:basedOn w:val="15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73">
    <w:name w:val="toc 1"/>
    <w:basedOn w:val="1522"/>
    <w:next w:val="1522"/>
    <w:uiPriority w:val="39"/>
    <w:unhideWhenUsed/>
    <w:pPr>
      <w:pBdr/>
      <w:spacing w:after="100"/>
      <w:ind/>
    </w:pPr>
  </w:style>
  <w:style w:type="paragraph" w:styleId="1574">
    <w:name w:val="toc 2"/>
    <w:basedOn w:val="1522"/>
    <w:next w:val="1522"/>
    <w:uiPriority w:val="39"/>
    <w:unhideWhenUsed/>
    <w:pPr>
      <w:pBdr/>
      <w:spacing w:after="100"/>
      <w:ind w:left="220"/>
    </w:pPr>
  </w:style>
  <w:style w:type="paragraph" w:styleId="1575">
    <w:name w:val="toc 3"/>
    <w:basedOn w:val="1522"/>
    <w:next w:val="1522"/>
    <w:uiPriority w:val="39"/>
    <w:unhideWhenUsed/>
    <w:pPr>
      <w:pBdr/>
      <w:spacing w:after="100"/>
      <w:ind w:left="440"/>
    </w:pPr>
  </w:style>
  <w:style w:type="paragraph" w:styleId="1576">
    <w:name w:val="toc 4"/>
    <w:basedOn w:val="1522"/>
    <w:next w:val="1522"/>
    <w:uiPriority w:val="39"/>
    <w:unhideWhenUsed/>
    <w:pPr>
      <w:pBdr/>
      <w:spacing w:after="100"/>
      <w:ind w:left="660"/>
    </w:pPr>
  </w:style>
  <w:style w:type="paragraph" w:styleId="1577">
    <w:name w:val="toc 5"/>
    <w:basedOn w:val="1522"/>
    <w:next w:val="1522"/>
    <w:uiPriority w:val="39"/>
    <w:unhideWhenUsed/>
    <w:pPr>
      <w:pBdr/>
      <w:spacing w:after="100"/>
      <w:ind w:left="880"/>
    </w:pPr>
  </w:style>
  <w:style w:type="paragraph" w:styleId="1578">
    <w:name w:val="toc 6"/>
    <w:basedOn w:val="1522"/>
    <w:next w:val="1522"/>
    <w:uiPriority w:val="39"/>
    <w:unhideWhenUsed/>
    <w:pPr>
      <w:pBdr/>
      <w:spacing w:after="100"/>
      <w:ind w:left="1100"/>
    </w:pPr>
  </w:style>
  <w:style w:type="paragraph" w:styleId="1579">
    <w:name w:val="toc 7"/>
    <w:basedOn w:val="1522"/>
    <w:next w:val="1522"/>
    <w:uiPriority w:val="39"/>
    <w:unhideWhenUsed/>
    <w:pPr>
      <w:pBdr/>
      <w:spacing w:after="100"/>
      <w:ind w:left="1320"/>
    </w:pPr>
  </w:style>
  <w:style w:type="paragraph" w:styleId="1580">
    <w:name w:val="toc 8"/>
    <w:basedOn w:val="1522"/>
    <w:next w:val="1522"/>
    <w:uiPriority w:val="39"/>
    <w:unhideWhenUsed/>
    <w:pPr>
      <w:pBdr/>
      <w:spacing w:after="100"/>
      <w:ind w:left="1540"/>
    </w:pPr>
  </w:style>
  <w:style w:type="paragraph" w:styleId="1581">
    <w:name w:val="toc 9"/>
    <w:basedOn w:val="1522"/>
    <w:next w:val="1522"/>
    <w:uiPriority w:val="39"/>
    <w:unhideWhenUsed/>
    <w:pPr>
      <w:pBdr/>
      <w:spacing w:after="100"/>
      <w:ind w:left="1760"/>
    </w:pPr>
  </w:style>
  <w:style w:type="paragraph" w:styleId="1582">
    <w:name w:val="TOC Heading"/>
    <w:uiPriority w:val="39"/>
    <w:unhideWhenUsed/>
    <w:pPr>
      <w:pBdr/>
      <w:spacing/>
      <w:ind/>
    </w:pPr>
  </w:style>
  <w:style w:type="paragraph" w:styleId="1583">
    <w:name w:val="table of figures"/>
    <w:basedOn w:val="1522"/>
    <w:next w:val="1522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2025-06-02T13:14:00Z</dcterms:modified>
</cp:coreProperties>
</file>