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САНКТ-ПЕТЕРБУРГСКИЙ ГОСУДАРСТВЕННЫЙ УНИВЕРСИТЕТ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Направление: 02.03.02 «Фундаментальная информатика и информационные технологии»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ООП: Большие данные и распределенная цифровая платформа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ТЧЕТ О НАУЧНО-ИССЛЕДОВАТЕЛЬСКОЙ РАБОТЕ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Тема: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 xml:space="preserve">Распределенный инференс глубоких нейросетевых моделей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tbl>
      <w:tblPr>
        <w:tblStyle w:val="948"/>
        <w:tblW w:w="9354" w:type="dxa"/>
        <w:tblBorders/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rtl w:val="0"/>
              </w:rPr>
              <w:t xml:space="preserve">Выполнил:                                  ___________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Колосков Виктор Юрьевич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Учебная группа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22Б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15-пу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rtl w:val="0"/>
              </w:rPr>
              <w:t xml:space="preserve">Научный руководитель:         ____________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Першин Антон Юрьевич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Должность: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доцент кафедры фундаментальной информатики и информационных систем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Ученая степень: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single"/>
                <w:rtl w:val="0"/>
              </w:rPr>
              <w:t xml:space="preserve">Ph. D.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rtl w:val="0"/>
              </w:rPr>
              <w:t xml:space="preserve">Председатель комиссии:         ____________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Утешев Алексей Юрьевич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Должность: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профессор, заведующий кафедрой фундаментальной информатики и распределенных систем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</w:rPr>
              <w:t xml:space="preserve">Ученая степень: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-70" w:type="dxa"/>
              <w:top w:w="-70" w:type="dxa"/>
              <w:right w:w="-70" w:type="dxa"/>
              <w:bottom w:w="-70" w:type="dxa"/>
            </w:tcMar>
            <w:vAlign w:val="top"/>
            <w:textDirection w:val="lrTb"/>
            <w:noWrap w:val="false"/>
          </w:tcPr>
          <w:p>
            <w:pPr>
              <w:pBdr/>
              <w:spacing w:after="0" w:line="276" w:lineRule="auto"/>
              <w:ind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single"/>
                <w:rtl w:val="0"/>
              </w:rPr>
              <w:t xml:space="preserve">Доктор физико-математических наук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Санкт-Петербург 2025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sdtPr>
      <w:sdtContent>
        <w:p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highlight w:val="no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highlight w:val="none"/>
            </w:rPr>
          </w: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TOC \o "1-9" \h </w:instrText>
          </w:r>
          <w:r>
            <w:rPr>
              <w:color w:val="000000" w:themeColor="text1"/>
            </w:rPr>
            <w:fldChar w:fldCharType="separate"/>
          </w:r>
          <w:r>
            <w:rPr>
              <w:color w:val="000000" w:themeColor="text1"/>
              <w:highlight w:val="none"/>
            </w:rPr>
          </w:r>
          <w:hyperlink w:tooltip="#_Toc1" w:anchor="_Toc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</w:rPr>
              <w:t xml:space="preserve">Введение</w:t>
            </w:r>
            <w:r>
              <w:rPr>
                <w:rStyle w:val="930"/>
                <w:rFonts w:ascii="Times New Roman" w:hAnsi="Times New Roman" w:cs="Times New Roman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highlight w:val="none"/>
            </w:rPr>
          </w:r>
        </w:p>
        <w:p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spacing w:val="5"/>
              <w:highlight w:val="none"/>
            </w:rPr>
          </w:pPr>
          <w:hyperlink w:tooltip="#_Toc2" w:anchor="_Toc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ru-RU"/>
              </w:rPr>
              <w:t xml:space="preserve">Постановка задачи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spacing w:val="5"/>
              <w:highlight w:val="none"/>
            </w:rPr>
          </w:r>
        </w:p>
        <w:p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highlight w:val="none"/>
              <w14:ligatures w14:val="none"/>
            </w:rPr>
          </w:pPr>
          <w:hyperlink w:tooltip="#_Toc3" w:anchor="_Toc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1.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Способы параллелизма моделей</w:t>
            </w:r>
            <w:r>
              <w:rPr>
                <w:rStyle w:val="930"/>
                <w:rFonts w:ascii="Times New Roman" w:hAnsi="Times New Roman" w:cs="Times New Roman"/>
                <w:b/>
                <w:bCs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highlight w:val="none"/>
              <w14:ligatures w14:val="none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highlight w:val="none"/>
            </w:rPr>
          </w:pPr>
          <w:hyperlink w:tooltip="#_Toc4" w:anchor="_Toc4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</w:rPr>
              <w:t xml:space="preserve">1.1. Тензорный параллелизм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highlight w:val="none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ru-RU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1.2.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Конвейерный параллелизм </w:t>
            </w:r>
            <w:r>
              <w:rPr>
                <w:rStyle w:val="93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6" w:anchor="_Toc6" w:history="1">
            <w:r>
              <w:rPr>
                <w:rStyle w:val="930"/>
              </w:rPr>
            </w:r>
            <w:r>
              <w:rPr>
                <w:rStyle w:val="930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1.3.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Экспертный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параллелизм</w:t>
            </w:r>
            <w:r>
              <w:rPr>
                <w:rStyle w:val="93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32"/>
            <w:pBdr/>
            <w:tabs>
              <w:tab w:val="left" w:leader="none" w:pos="91"/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7" w:anchor="_Toc7" w:history="1">
            <w:r>
              <w:rPr>
                <w:rStyle w:val="930"/>
              </w:rPr>
            </w:r>
            <w:r>
              <w:rPr>
                <w:rStyle w:val="930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</w:rPr>
              <w:t xml:space="preserve">2. Методы оптимизации распределенного инференса</w:t>
            </w:r>
            <w:r>
              <w:rPr>
                <w:rStyle w:val="930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/>
          </w:pPr>
          <w:hyperlink w:tooltip="#_Toc8" w:anchor="_Toc8" w:history="1">
            <w:r>
              <w:rPr>
                <w:rStyle w:val="930"/>
              </w:rPr>
            </w:r>
            <w:r>
              <w:rPr>
                <w:rStyle w:val="930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</w:rPr>
              <w:t xml:space="preserve">2.1. Выгрузка параметров на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CPU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и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NVMe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/>
          </w:pPr>
          <w:hyperlink w:tooltip="#_Toc9" w:anchor="_Toc9" w:history="1">
            <w:r>
              <w:rPr>
                <w:rStyle w:val="930"/>
              </w:rPr>
            </w:r>
            <w:r>
              <w:rPr>
                <w:rStyle w:val="930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2.2.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Оптимизация коллективных операций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10" w:anchor="_Toc10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2.3.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Оптимизации путей активации экспертов для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MoE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архитектур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.</w:t>
            </w:r>
            <w:r>
              <w:rPr>
                <w:rStyle w:val="930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932"/>
            <w:pBdr/>
            <w:tabs>
              <w:tab w:val="left" w:leader="none" w:pos="91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3.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Инструменты для реализации распределенного инференса</w:t>
            </w:r>
            <w:r>
              <w:rPr>
                <w:rStyle w:val="93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2" w:anchor="_Toc1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ru-RU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3.1. MindSpore</w:t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cs="Times New Roman"/>
              <w:b w:val="0"/>
              <w:bCs w:val="0"/>
            </w:rPr>
          </w:pPr>
          <w:hyperlink w:tooltip="#_Toc13" w:anchor="_Toc1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 w:val="0"/>
                <w:bCs w:val="0"/>
                <w:spacing w:val="5"/>
                <w:highlight w:val="none"/>
                <w:lang w:val="en-US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en-US"/>
              </w:rPr>
              <w:t xml:space="preserve">3.2. DeepSpeed</w:t>
            </w:r>
            <w:r>
              <w:rPr>
                <w:rStyle w:val="930"/>
                <w:rFonts w:ascii="Times New Roman" w:hAnsi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14" w:anchor="_Toc14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 w:val="0"/>
                <w:bCs w:val="0"/>
                <w:spacing w:val="5"/>
                <w:highlight w:val="none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</w:rPr>
              <w:t xml:space="preserve">3.3.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en-US"/>
              </w:rPr>
              <w:t xml:space="preserve">Megatron-LM</w:t>
            </w:r>
            <w:r>
              <w:rPr>
                <w:rStyle w:val="930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932"/>
            <w:pBdr/>
            <w:tabs>
              <w:tab w:val="left" w:leader="none" w:pos="91"/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15" w:anchor="_Toc15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 w:val="0"/>
                <w:bCs w:val="0"/>
                <w:spacing w:val="5"/>
                <w:highlight w:val="none"/>
                <w:lang w:val="ru-RU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ru-RU"/>
              </w:rPr>
              <w:t xml:space="preserve">4. Практические эксперименты.</w:t>
            </w:r>
            <w:r>
              <w:rPr>
                <w:rStyle w:val="930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6" w:anchor="_Toc16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en-US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4.1.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Тензорный параллелизм и параллелизм по данным для плотных моделей</w:t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cs="Times New Roman"/>
              <w:spacing w:val="5"/>
              <w:highlight w:val="none"/>
            </w:rPr>
          </w:pPr>
          <w:hyperlink w:tooltip="#_Toc17" w:anchor="_Toc17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spacing w:val="5"/>
                <w:highlight w:val="none"/>
                <w:lang w:val="ru-RU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ru-RU"/>
              </w:rPr>
              <w:t xml:space="preserve">4.2. Использование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en-US"/>
              </w:rPr>
              <w:t xml:space="preserve">ZeRO c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en-US"/>
              </w:rPr>
              <w:t xml:space="preserve">CPU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ru-RU"/>
              </w:rPr>
              <w:t xml:space="preserve">и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spacing w:val="5"/>
                <w:highlight w:val="none"/>
                <w:lang w:val="en-US"/>
              </w:rPr>
              <w:t xml:space="preserve">NVMe</w:t>
            </w:r>
            <w:r>
              <w:rPr>
                <w:rStyle w:val="930"/>
                <w:rFonts w:ascii="Times New Roman" w:hAnsi="Times New Roman" w:cs="Times New Roman"/>
                <w:spacing w:val="5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spacing w:val="5"/>
              <w:highlight w:val="none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/>
          </w:pPr>
          <w:hyperlink w:tooltip="#_Toc18" w:anchor="_Toc18" w:history="1">
            <w:r>
              <w:rPr>
                <w:rStyle w:val="930"/>
              </w:rPr>
            </w:r>
            <w:r>
              <w:rPr>
                <w:rStyle w:val="930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4.3. Использование тензорного параллелизма с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ZeRO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и без него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17</w:t>
              <w:fldChar w:fldCharType="end"/>
            </w:r>
          </w:hyperlink>
          <w:r/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19" w:anchor="_Toc19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ru-RU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4.4.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Использование параллелизма по данным и тензорного параллелизма с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ZeRO.</w:t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933"/>
            <w:pBdr/>
            <w:tabs>
              <w:tab w:val="left" w:leader="none" w:pos="311"/>
              <w:tab w:val="right" w:leader="dot" w:pos="9355"/>
            </w:tabs>
            <w:spacing/>
            <w:ind/>
            <w:rPr/>
          </w:pPr>
          <w:hyperlink w:tooltip="#_Toc20" w:anchor="_Toc20" w:history="1">
            <w:r>
              <w:rPr>
                <w:rStyle w:val="930"/>
              </w:rPr>
            </w:r>
            <w:r>
              <w:rPr>
                <w:rStyle w:val="930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4.5.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Использование тензорного параллелизма вместе с экспертным параллелизмом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.</w:t>
            </w:r>
            <w:r>
              <w:rPr>
                <w:rStyle w:val="93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932"/>
            <w:pBdr/>
            <w:tabs>
              <w:tab w:val="left" w:leader="none" w:pos="91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21" w:anchor="_Toc21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en-US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Вывод</w:t>
            </w:r>
            <w:r>
              <w:rPr>
                <w:rStyle w:val="93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32"/>
            <w:pBdr/>
            <w:tabs>
              <w:tab w:val="left" w:leader="none" w:pos="91"/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ru-RU"/>
              </w:rPr>
              <w:tab/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Список использованной литературы</w:t>
            </w:r>
            <w:r>
              <w:rPr>
                <w:rStyle w:val="930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hyperlink w:tooltip="#_Toc23" w:anchor="_Toc23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cs="Times New Roman"/>
                <w:b/>
                <w:bCs/>
                <w:lang w:val="ru-RU"/>
              </w:rPr>
              <w:t xml:space="preserve">Приложение А</w:t>
            </w:r>
            <w:r>
              <w:rPr>
                <w:rStyle w:val="930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932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24" w:anchor="_Toc24" w:history="1">
            <w:r>
              <w:rPr>
                <w:rStyle w:val="930"/>
              </w:rPr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Приложение </w:t>
            </w:r>
            <w:r>
              <w:rPr>
                <w:rStyle w:val="93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  <w:t xml:space="preserve">B</w:t>
            </w:r>
            <w:r>
              <w:rPr>
                <w:rStyle w:val="930"/>
                <w:rFonts w:ascii="Times New Roman" w:hAnsi="Times New Roman" w:eastAsia="Times New Roman" w:cs="Times New Roman"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  <w:lang w:val="en-US"/>
            </w:rPr>
          </w:r>
        </w:p>
        <w:p>
          <w:pPr>
            <w:pBdr/>
            <w:spacing/>
            <w:ind/>
            <w:rPr>
              <w:color w:val="000000" w:themeColor="text1"/>
              <w:highlight w:val="none"/>
            </w:rPr>
          </w:pPr>
          <w:r>
            <w:rPr>
              <w:color w:val="000000" w:themeColor="text1"/>
            </w:rPr>
          </w:r>
          <w:r>
            <w:rPr>
              <w:rFonts w:ascii="Times New Roman" w:hAnsi="Times New Roman" w:cs="Times New Roman"/>
              <w:b/>
              <w:bCs/>
              <w:highlight w:val="none"/>
            </w:rPr>
          </w:r>
          <w:r>
            <w:rPr>
              <w:color w:val="000000" w:themeColor="text1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4"/>
              <w:szCs w:val="24"/>
              <w:highlight w:val="none"/>
            </w:rPr>
            <w:br w:type="page" w:clear="all"/>
          </w:r>
          <w:r/>
          <w:r/>
        </w:p>
        <w:p>
          <w:pPr>
            <w:pStyle w:val="885"/>
            <w:pBdr/>
            <w:spacing/>
            <w:ind w:firstLine="708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pPr>
          <w:r/>
          <w:bookmarkStart w:id="1" w:name="_Toc1"/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  <w:t xml:space="preserve">Введение</w:t>
          </w:r>
          <w:r/>
          <w:bookmarkEnd w:id="1"/>
          <w:r/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</w:p>
      </w:sdtContent>
    </w:sdt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В современную эпоху активного развития искусственного интеллекта и глубокого машинного обучения большие нейросетевые модели становятся неотъемлемой частью решения множества сложных задач, таких как распознавание образов, обработка естественного языка и авт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ономное управление.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</w:rPr>
        <w:t xml:space="preserve">Инференс нейросетевых моделей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 — это процесс использования уже обученной нейронной сети для предсказания результатов на новых, ранее невидимых данных. В отличие от этапа обучения, когда модель настраивает свои веса на основе обучающих данных, во время инфер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енса модель остаётся фиксированной, и её задача — эффективно применять накопленные знания для решения поставленной задачи.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Однако увеличение сложности и размеров моделей часто приводит к проблемам, связанным с чрезмерными временными затратами на инференс или невозможностью размещения модели в памяти графического ускорителя (GPU). Одним из решений этой проблемы является распред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еление нейросетевой модели между несколькими GPU. Такой подход называется параллелизмом на уровне модели.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Вопросы эффективного распределения нейросетевых моделей по вычислительным устройствам становятся особенно актуальными в условиях роста требований к вычислительным ресурсам и необходимости выполнения вычислений в реальном времени. Распределённый инференс по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зволяет использовать несколько устройств (GPU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lang w:val="en-US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lang w:val="en-US"/>
        </w:rPr>
        <w:t xml:space="preserve"> CPU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) для преодоления ограничений по памяти и вычислительной мощности, а также для сокращения времени отклика системы.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При распределённом инференсе возникает необходимость разделить матрицы весов модели между различными устройствами. Для этого требуется определённым образом «разрезать» нейронную сеть и распределить эти части по доступным ресурсам. Существует два способа ра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зрезания модели: горизонтальный (межслойный) и вертикальный (внутрислойный).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Горизонтальный способ достаточно прост в реализации, однако может быть не очень эффективным. Дело в том, что при таком подходе обработка данных на каждом слое происходит только на одной видеокарте, вследствие чего другие устройства могут простаивать, что п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риводит к неэффективному использованию вычислительных ресурсов. Вертикальный способ, напротив, позволяет задействовать одновременно несколько видеокарт, что значительно повышает производительность вычислений. Однако его реализация является более сложной.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В данной работе рассматриваются различные методы распределённого инференса глубоких нейросетевых моделей, а также инструменты, реализующие эти подходы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885"/>
        <w:pBdr/>
        <w:spacing/>
        <w:ind w:firstLine="708"/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8"/>
          <w:szCs w:val="28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8"/>
          <w:szCs w:val="28"/>
          <w:highlight w:val="none"/>
          <w:lang w:val="ru-RU"/>
        </w:rPr>
        <w:t xml:space="preserve">Постановка задачи</w:t>
      </w:r>
      <w:r/>
      <w:bookmarkEnd w:id="2"/>
      <w:r/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8"/>
          <w:szCs w:val="28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szCs w:val="24"/>
          <w:highlight w:val="none"/>
          <w:lang w:val="ru-RU"/>
        </w:rPr>
        <w:t xml:space="preserve">Цель: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Исследовать различные подходы к распределенному инференсу и оценить эффективность соответствующих инструментальных решений.</w:t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szCs w:val="24"/>
          <w:highlight w:val="none"/>
          <w:lang w:val="ru-RU"/>
        </w:rPr>
        <w:t xml:space="preserve">Задачи:</w:t>
      </w:r>
      <w:r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highlight w:val="none"/>
        </w:rPr>
      </w:r>
    </w:p>
    <w:p>
      <w:pPr>
        <w:pStyle w:val="947"/>
        <w:numPr>
          <w:ilvl w:val="0"/>
          <w:numId w:val="1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Исследование тезнорного параллелизма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1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Изучение конвейерного параллелизма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1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Анализ параллелизма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экспертов для архитектур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MoE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1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Изучение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процесса инференса моделей на гетерогенных вычислительных система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х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1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Обзор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и анализ инструментов, реализующих разные способы параллелизации моделей.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885"/>
        <w:pBdr/>
        <w:spacing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en-US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Способы параллелизма моделей</w:t>
      </w:r>
      <w:r/>
      <w:bookmarkEnd w:id="3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86"/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/>
      <w:bookmarkStart w:id="4" w:name="_Toc4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1.1. Тензорный параллелизм </w:t>
      </w:r>
      <w:r/>
      <w:bookmarkEnd w:id="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Тензорный параллелизм — это метод параллельного разбиения модели, при котором тензор параметров каждого слоя распределяется между несколькими процессорами.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Впервые тензорный параллелизм был представлен в статье о модели Megatron-LM [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] как способ обучения больших языковых моделей на значительном количестве видеокарт. В данной работе для обучения моделей BERT и GPT-2 использовалось 512 видеокарт. Модель основ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ана на архитектуре трансформера, за которой следует двухслойный перцептрон. На рисунке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 показан способ разделения перцептрона.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192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3478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721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4.3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Способ разделения перцептрона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 xml:space="preserve">[6]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tabs>
          <w:tab w:val="left" w:leader="none" w:pos="1134"/>
        </w:tabs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tabs>
          <w:tab w:val="left" w:leader="none" w:pos="1184"/>
        </w:tabs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</w:rPr>
          <m:rPr>
            <m:sty m:val="i"/>
          </m:rPr>
          <m:t>Y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может быть представлен следующим образом: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tabs>
          <w:tab w:val="left" w:leader="none" w:pos="1184"/>
        </w:tabs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lang w:val="ru-RU"/>
            </w:rPr>
            <m:rPr>
              <m:sty m:val="i"/>
            </m:rPr>
            <m:t>Y=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lang w:val="ru-RU"/>
            </w:rPr>
            <m:rPr>
              <m:sty m:val="i"/>
            </m:rPr>
            <m:t>GeLU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lang w:val="ru-RU"/>
                </w:rPr>
                <m:rPr>
                  <m:sty m:val="i"/>
                </m:rPr>
                <m:t>XA</m:t>
              </m:r>
            </m:e>
          </m:d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lang w:val="ru-RU"/>
            </w:rPr>
            <m:rPr/>
            <m:t> (1)</m:t>
          </m:r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tabs>
          <w:tab w:val="left" w:leader="none" w:pos="1184"/>
        </w:tabs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ab/>
        <w:t xml:space="preserve">Существует возможность разделить матрицу весов по столбцам: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</w:rPr>
          <m:rPr>
            <m:sty m:val="i"/>
          </m:rPr>
          <m:t>A=[</m:t>
        </m:r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</w:rPr>
              <m:rPr/>
              <m:t>,A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</w:rPr>
              <m:rPr/>
              <m:t>2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</w:rPr>
          <m:rPr/>
          <m:t>]</m:t>
        </m:r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</w:rPr>
              <m:rPr/>
              <m:t>,A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Тогда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</w:rPr>
          <m:rPr>
            <m:sty m:val="i"/>
          </m:rPr>
          <m:t>Y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представима в следующем виде: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tabs>
          <w:tab w:val="left" w:leader="none" w:pos="1184"/>
        </w:tabs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</w:rPr>
            <m:rPr>
              <m:sty m:val="i"/>
            </m:rPr>
            <m:t>Y=[GeLU(X</m:t>
          </m:r>
          <m:sSub>
            <m:sSub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</w:rPr>
                <m:rPr>
                  <m:sty m:val="i"/>
                </m:rPr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</w:rPr>
            <m:rPr/>
            <m:t>),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</w:rPr>
            <m:rPr>
              <m:sty m:val="i"/>
            </m:rPr>
            <m:t>GeLU(X</m:t>
          </m:r>
          <m:sSub>
            <m:sSub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</w:rPr>
                <m:rPr/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</w:rPr>
            <m:rPr/>
            <m:t>)] (2)</m:t>
          </m:r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tabs>
          <w:tab w:val="left" w:leader="none" w:pos="1184"/>
        </w:tabs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  <w:t xml:space="preserve">Так как следующую операцию умножения можно также провести в разделенном для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en-US"/>
          </w:rPr>
          <m:rPr>
            <m:sty m:val="i"/>
          </m:rPr>
          <m:t>Y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иде (1), нет необходимости на этом этапе добавлять какие-либо точки синхронизации. Следующая матрица весов разделяется по строкам. Таким образом матрицу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Z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можно представить в виде: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tabs>
          <w:tab w:val="left" w:leader="none" w:pos="1184"/>
        </w:tabs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>
              <m:sty m:val="i"/>
            </m:rPr>
            <m:t>Z = Dropout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Z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Z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2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=Dropout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Y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Y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2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 (3)</m:t>
          </m:r>
          <m:sSub>
            <m:sSub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B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1</m:t>
              </m:r>
            </m:sub>
          </m:sSub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tabs>
          <w:tab w:val="left" w:leader="none" w:pos="1184"/>
        </w:tabs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Следовательно, для получения матрицы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Z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необходимо добавить точку синхронизации и применить оператор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all-reduce(g)</m:t>
        </m:r>
      </m:oMath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, задача которого состоит в том, чтобы собрать полученные матрицы со всех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GPU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и произвести операцию редукции.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tabs>
          <w:tab w:val="left" w:leader="none" w:pos="1184"/>
        </w:tabs>
        <w:spacing/>
        <w:ind/>
        <w:jc w:val="both"/>
        <w:rPr>
          <w:color w:val="000000" w:themeColor="text1"/>
          <w:highlight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  <w:tab/>
        <w:t xml:space="preserve">На рисунке 2 представлен способ разделения блока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self-attention.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tabs>
          <w:tab w:val="left" w:leader="none" w:pos="1184"/>
        </w:tabs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69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5805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246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5.6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2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Тензорный параллелизм self-attention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  <w:lang w:val="en-US"/>
        </w:rPr>
        <w:t xml:space="preserve">[11]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lang w:val="en-US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В этом случае разделяются матрицы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lang w:val="ru-RU"/>
          </w:rPr>
          <m:rPr>
            <m:sty m:val="i"/>
          </m:rPr>
          <m:t>Q, K, V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по столбцам и вычисления производятся независимо на каждом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. После этого получаем матрицу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lang w:val="ru-RU"/>
          </w:rPr>
          <m:rPr>
            <m:sty m:val="i"/>
          </m:rPr>
          <m:t>Y=[</m:t>
        </m:r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lang w:val="ru-RU"/>
              </w:rPr>
              <m:rPr>
                <m:sty m:val="i"/>
              </m:rPr>
              <m:t>Y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lang w:val="ru-RU"/>
              </w:rPr>
              <m:rPr>
                <m:sty m:val="i"/>
              </m:rPr>
              <m:t>1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lang w:val="ru-RU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lang w:val="ru-RU"/>
              </w:rPr>
              <m:rPr/>
              <m:t>Y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lang w:val="ru-RU"/>
              </w:rPr>
              <m:rPr/>
              <m:t>2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lang w:val="ru-RU"/>
          </w:rPr>
          <m:rPr/>
          <m:t>]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Второй этап аналогичен разделению перцептрона.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Таким образом, данный подход позволяет существенно повысить скорость обучения и инференса модели. Однако его эффективность зависит от разработки надёжного механизма разделения матриц весов.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Вместе с тем, данный подход обладает существенной проблемой масштабируемости: эффективное использование данного вида параллелизма ограничено пределами одного узла видеокарт. Это связано с необходимостью синхронизации и межузловой передачи данных на определ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ённых этапах вычислений, что приводит к значительному снижению скорости обработки информации при распределении вычислений между несколькими узлами.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886"/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5" w:name="_Toc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en-US"/>
        </w:rPr>
        <w:t xml:space="preserve">1.2.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Конвейерный параллелизм </w:t>
      </w:r>
      <w:r/>
      <w:bookmarkEnd w:id="5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color w:val="000000" w:themeColor="text1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white"/>
        </w:rPr>
        <w:t xml:space="preserve">Конвейерный параллелизм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представляет собой подход к распараллеливанию модели, при котором каждый слой или группа последовательных слоев размещается на отдельном вычислительном узле. Последовательные пакеты данных подаются в конвейер таким образом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, чтобы обеспечить его постоянную загрузку. Обмен данными между узлами ограничивается передачей активаций слоёв, где происходит разделение модели, а также соответствующих градиентов этих активаций.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[5]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  <w:t xml:space="preserve">На рисунке 3 представлен пример конвейерного параллеллизма. 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6245" cy="29243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046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796245" cy="2924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7.66pt;height:230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3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Конвейерный параллелизм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Этот тип разделения модели обеспечивает высокую эффективность при её масштабировании между вычислительными узлами, поскольку операции на каждом слое не требуют выполнения дополнительных коллективных коммуникаций. Вместе с тем, конвейерный параллелизм имеет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существенный недостаток — значительная часть графических процессоров простаивает в момент выполнения вычислений на отдельном слое. Более того, размер отдельного слоя модели может превышать объём видеопамяти одного устройства, что ограничивает применимость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подхода.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Для устранения первой проблемы входной батч разбивается на несколько микробатчей, которые последовательно подаются в модель, позволяя начать обработку следующего микробатча до завершения вычислений предыдущего по всей глубине сети. Это позволяет более эффе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ктивно загружать вычислительные ресурсы и сокращает время простоя устройств. Для решения второй проблемы, связанной с ограниченной памятью отдельного GPU, внутри одного узла применяется тензорный параллелизм, обеспечивающий распределение отдельных слоёв ме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жду несколькими видеокартами. Между узлами, в свою очередь, сохраняется использование конвейерного параллелизма, что в совокупности позволяет эффективно распределять модель как внутри узла, так и между узлами вычислительного кластера. Иллюстрация данного п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одхода представлена на рисунке 4.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903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934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290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01.6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4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Использование тензорного параллелизма вместе с конвейерным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 xml:space="preserve">.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 xml:space="preserve">[11]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Style w:val="886"/>
        <w:pBdr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/>
      <w:bookmarkStart w:id="6" w:name="_Toc6"/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1.3.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Экспертный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параллелизм</w:t>
      </w:r>
      <w:r/>
      <w:bookmarkEnd w:id="6"/>
      <w:r/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Для начала рассмотрим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 архитектуру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 моделей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смеси экспертов (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MoE).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color w:val="000000" w:themeColor="text1"/>
          <w:spacing w:val="5"/>
          <w:sz w:val="24"/>
          <w:highlight w:val="white"/>
        </w:rPr>
        <w:t xml:space="preserve">Mixture of Experts (MoE)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— это архитектура нейронных сетей, которая позволяет эффективно масштабировать модель, не увеличивая вычислительные затраты пропорционально размеру. Основная идея MoE заключается в том, чтобы разделить вычисления между несколькими «экспертами», каждый из к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оторых специализируется на определённом типе входных данных. При обработке запроса активируются только те эксперты, которые наиболее релевантны текущей задаче. Такой подход делает модель более производительной и масштабируемой, что особенно важно в совреме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нных больших языковых моделях.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На рисунке 5 представлен пример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MoE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архитектуры для трансформерного слоя.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В контексте моделей трансформеров MoE состоит из двух основных элементов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[14]: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Вместо слоев плотной сети прямой связи (FFN) используются разреженные слои MoE. В слоях MoE есть определенное количество «экспертов», где каждый эксперт является нейронной сетью. На практике экспертами являются FFN, но они также могут быть бол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ее сложными сетями или даже самим MoE.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4"/>
        </w:num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Network gate или router, который определяет, какие токены отправляются какому эксперту. Например, на изображении ниже токен "More" отправляется второму эксперту, а токен "Parameters" отправляется в первую сеть. Как мы узнаем позже, мы можем отправить то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кен более чем одному эксперту. Как направить токен эксперту - одно из важных решений при работе с MoE - маршрутизатор состоит из изученных параметров и предварительно обучен одновременно с остальной сетью.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993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697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889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27.5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5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Пример архитектуры MoE для трансформенных моделей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 xml:space="preserve">[14]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Идея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MoE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 параллелизма заключается в раздел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нии экспертов по группам, каждая из которых будет находиться на одном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 или узле. Это позволить значительно снизить объем используемой памяти на отдельном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GPU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и значительно повысить скорость инференса за счет того, что эксперты в пределах одного слоя могут выполнять вычисления независимо.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Одной из первой реализацией этого параллеллизма была представлена в рамках фреймворка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GShard [15].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В данном подходе экспертные слои разделяются на логические группы, каждая из которых распределяется по отдельным вычислительным устройствам (например, GPU). При этом неэкспертные слои модели дублируются на всех устройствах, что позволяет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использовать также и параллелизм по данным.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  <w:t xml:space="preserve">Однако, этот способ имеет существенную проблему. На рисунке 6 представлена архитектура сети с несколькими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MoE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слоями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Из нем видно, что при переходе между слоями необходимо произвести операцию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en-US"/>
          </w:rPr>
          <m:rPr>
            <m:sty m:val="i"/>
          </m:rPr>
          <m:t>AlltoAll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Э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та операция требует требует полной синхронизации и обмена данными между участниками, вследствие чего является одной из основных проблем параллелизма такого вида.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084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8352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6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09.5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6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Экспертный параллелизм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  <w:lang w:val="en-US"/>
        </w:rPr>
        <w:t xml:space="preserve">[1]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Style w:val="885"/>
        <w:pBdr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7" w:name="_Toc7"/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 Методы оптимизации распределенного инференса</w:t>
      </w:r>
      <w:r/>
      <w:bookmarkEnd w:id="7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886"/>
        <w:pBdr/>
        <w:spacing/>
        <w:ind/>
        <w:jc w:val="both"/>
        <w:rPr>
          <w:color w:val="000000" w:themeColor="text1"/>
        </w:rPr>
      </w:pPr>
      <w:r/>
      <w:bookmarkStart w:id="8" w:name="_Toc8"/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 Выгрузка параметров на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CPU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NVMe</w:t>
      </w:r>
      <w:r/>
      <w:bookmarkEnd w:id="8"/>
      <w:r/>
      <w:r>
        <w:rPr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color w:val="000000" w:themeColor="text1"/>
          <w:highlight w:val="none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Несмотря на то, что существуют различные способы разделения моделей, многим исследователям их использование все еще недоступно. Это связано с тем, что даже не очень большие модели могу требовать десятки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или даже сотни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 для использования.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</w:rPr>
        <w:t xml:space="preserve">В реальных условиях количество доступных вычислительных устройств часто строго ограничено, что делает традиционные методы распределённого вывода неприменимыми.</w:t>
      </w:r>
      <w:r>
        <w:rPr>
          <w:rFonts w:ascii="Times New Roman" w:hAnsi="Times New Roman" w:cs="Times New Roman"/>
          <w:color w:val="000000" w:themeColor="text1"/>
          <w:szCs w:val="24"/>
        </w:rPr>
      </w:r>
      <w:r>
        <w:rPr>
          <w:rFonts w:ascii="Times New Roman" w:hAnsi="Times New Roman" w:cs="Times New Roman"/>
          <w:color w:val="000000" w:themeColor="text1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В таких ситуациях одним из возможных решений становится использование более медленной, но доступной по объёму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  <w:lang w:val="ru-RU"/>
        </w:rPr>
        <w:t xml:space="preserve">оперативной или дисковой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. Основная идея заключается в том, чтобы динамически загружать на GPU только те части модели, к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оторые необходимы для текущих вычислений, а затем выгружать их обратно в память хоста после завершения обработки. Такой подход позволяет значительно снизить требования к видеопамяти и выполнять инференс моделей, размер которых превышает объём локальной пам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яти GPU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[12].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Кроме выгрузки параметров модели, в память хоста или на диск также может быть перемещена часть промежуточных вычислений, что позволяет дополнительно снизить нагрузку на видеопамять. В частности, при инференсе трансформерных моделей широкое применение наход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ит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кеширование ключей и значений (KV-cache)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— метод, позволяющий сохранять результаты некоторых промежуточных вычислений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для каждого токена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[4].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Благодаря этому при добавлении нового токена к уже существующей последовательности нет необходимости повторно обрабатывать всю входную последовательность целиком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, достаточно достаточно произвести вычисления только для нового токена.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Однако при работе с длинными последовательностями объём данных, хранимых в KV-кэше, может быть значительным, что создаёт дополнительную нагрузку на GPU-память. Для решения этой проблемы применяется выгрузка содержимого KV-кэша в оперативную или дисковую па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  <w:t xml:space="preserve">мять по мере необходимости.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886"/>
        <w:pBdr/>
        <w:spacing/>
        <w:ind/>
        <w:jc w:val="both"/>
        <w:rPr>
          <w:color w:val="000000" w:themeColor="text1"/>
        </w:rPr>
      </w:pPr>
      <w:r/>
      <w:bookmarkStart w:id="9" w:name="_Toc9"/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2.2.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Оптимизация коллективных операций</w:t>
      </w:r>
      <w:r/>
      <w:bookmarkEnd w:id="9"/>
      <w:r/>
      <w:r>
        <w:rPr>
          <w:color w:val="000000" w:themeColor="text1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При выполнении инференса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происходит значительное количество синхронизаций и межпроцессорного обмена данными между GPU. Вместе с тем, отдельные коллективные операции могут быть недостаточно хорошо оптимизированы для использования в составе нейросетевых моделей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. С учётом специфики задачи инференса появляется возможность самостоятельной оптимизации указанных коллективных операций, что позволяет снизить их вычислительную сложность и ускорить их выполнение.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 Так, например,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DeepSpeed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[11]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пытается оптимизировать операцию 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AlltoAll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 путем использования иерархической структуры. На рисунке 8 проиллюстрирован пример его работы. Сначала происходит преобразование макета данных, затем внутриузловой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AlltoAll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. После еще одного преобразования шаблона данных, реализуется внешний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AlltoAll.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Это сокращает количество связей с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lang w:val="ru-RU"/>
          </w:rPr>
          <m:rPr>
            <m:sty m:val="i"/>
          </m:rPr>
          <m:t>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color w:val="000000" w:themeColor="text1"/>
                <w:lang w:val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color w:val="000000" w:themeColor="text1"/>
                <w:lang w:val="ru-RU"/>
              </w:rPr>
              <m:rPr>
                <m:sty m:val="i"/>
              </m:rPr>
              <m:t>p</m:t>
            </m:r>
          </m:e>
        </m:d>
      </m:oMath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до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lang w:val="ru-RU"/>
          </w:rPr>
          <m:rPr>
            <m:sty m:val="i"/>
          </m:rPr>
          <m:t>O(g +</m:t>
        </m:r>
        <m:r>
          <w:rPr>
            <w:rFonts w:hint="default" w:ascii="Cambria Math" w:hAnsi="Cambria Math" w:eastAsia="Cambria Math" w:cs="Cambria Math"/>
            <w:color w:val="000000" w:themeColor="text1"/>
            <w:lang w:val="ru-RU"/>
          </w:rPr>
          <m:rPr>
            <m:sty m:val="i"/>
          </m:rPr>
          <m:t>)</m:t>
        </m:r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lang w:val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 w:themeColor="text1"/>
                <w:lang w:val="ru-RU"/>
              </w:rPr>
              <m:rPr>
                <m:sty m:val="i"/>
              </m:rPr>
              <m:t>p</m:t>
            </m:r>
          </m:num>
          <m:den>
            <m:r>
              <w:rPr>
                <w:rFonts w:hint="default" w:ascii="Cambria Math" w:hAnsi="Cambria Math" w:eastAsia="Cambria Math" w:cs="Cambria Math"/>
                <w:color w:val="000000" w:themeColor="text1"/>
                <w:lang w:val="ru-RU"/>
              </w:rPr>
              <m:rPr>
                <m:sty m:val="i"/>
              </m:rPr>
              <m:t>g</m:t>
            </m:r>
          </m:den>
        </m:f>
      </m:oMath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, где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lang w:val="en-US"/>
          </w:rPr>
          <m:rPr>
            <m:sty m:val="i"/>
          </m:rPr>
          <m:t>p</m:t>
        </m:r>
      </m:oMath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и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lang w:val="en-US"/>
          </w:rPr>
          <m:rPr>
            <m:sty m:val="i"/>
          </m:rPr>
          <m:t>g</m:t>
        </m:r>
      </m:oMath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общее количество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 и число </w:t>
      </w:r>
      <w:r>
        <w:rPr>
          <w:rFonts w:ascii="Times New Roman" w:hAnsi="Times New Roman" w:eastAsia="Times New Roman" w:cs="Times New Roman"/>
          <w:color w:val="000000" w:themeColor="text1"/>
          <w:lang w:val="en-US"/>
        </w:rPr>
        <w:t xml:space="preserve">GPU </w:t>
      </w:r>
      <w:r>
        <w:rPr>
          <w:rFonts w:ascii="Times New Roman" w:hAnsi="Times New Roman" w:eastAsia="Times New Roman" w:cs="Times New Roman"/>
          <w:color w:val="000000" w:themeColor="text1"/>
          <w:lang w:val="ru-RU"/>
        </w:rPr>
        <w:t xml:space="preserve">на одном узле.</w:t>
      </w: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1365" cy="24205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710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641364" cy="2420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4.20pt;height:190.6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7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Иерархический MoE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  <w:lang w:val="en-US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Style w:val="886"/>
        <w:pBdr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/>
      <w:bookmarkStart w:id="10" w:name="_Toc10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2.3.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Оптимизации путей активации экспертов для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MoE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архитектур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.</w:t>
      </w:r>
      <w:r/>
      <w:bookmarkEnd w:id="10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ab/>
        <w:t xml:space="preserve">В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MoE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архитектурах операции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AlltoAll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происходят из-за того, что необходимо передать эксперту соответствующие токены для вычислений. Но, если токен уже находится на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, то нет необходимости в его передаче. Следовательно, можно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 попытаться предсказывать на основе семантики токена к какому эксперту он отправиться. К тому же, между выходом предыдущего экспертного слоя и следующим за ним может быть аналогичная зависимость. Следовательно, если оптимально «пересадить» экспертов между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, то существует возможность уменьшить количество данных для передачи. В статье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[17]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приводятся такие способы оптимизации коллективных операций.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  <w:t xml:space="preserve">Для предсказания типа «токе-эксперт» используется простая модель, построенная на условных вероятностях: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>
              <m:sty m:val="i"/>
            </m:rPr>
            <m:t>P(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E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k</m:t>
                  </m:r>
                </m:sub>
              </m:sSub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L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| </m:t>
          </m:r>
          <m:sSub>
            <m:sSub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j</m:t>
              </m:r>
            </m:sub>
          </m:sSub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)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= </m:t>
          </m:r>
          <m:f>
            <m:fPr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/>
                        <m:t>T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/>
                        <m:t>j,k</m:t>
                      </m:r>
                    </m:sub>
                  </m:sSub>
                </m:e>
                <m:sup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L</m:t>
                  </m:r>
                </m:sup>
              </m:sSup>
            </m:num>
            <m:den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naryPr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k=1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N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L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/>
                            <m:t>j,k</m:t>
                          </m:r>
                        </m:sub>
                      </m:sSub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/>
                        <m:t>L</m:t>
                      </m:r>
                    </m:sup>
                  </m:sSup>
                </m:e>
              </m:nary>
            </m:den>
          </m:f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 (4)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 </m:t>
          </m:r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</m:ctrlPr>
          </m:sSupPr>
          <m:e>
            <m:sSub>
              <m:sSubPr>
                <m:ctrlPr>
                  <w:rPr>
                    <w:rFonts w:ascii="Cambria Math" w:hAnsi="Cambria Math" w:eastAsia="Cambria Math" w:cs="Cambria Math"/>
                    <w:color w:val="000000" w:themeColor="text1"/>
                    <w:sz w:val="24"/>
                    <w:szCs w:val="24"/>
                    <w:highlight w:val="none"/>
                    <w:lang w:val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  <w:highlight w:val="none"/>
                    <w:lang w:val="ru-RU"/>
                  </w:rPr>
                  <m:rPr>
                    <m:sty m:val="i"/>
                  </m:rPr>
                  <m:t>T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  <w:highlight w:val="none"/>
                    <w:lang w:val="ru-RU"/>
                  </w:rPr>
                  <m:rPr/>
                  <m:t>j,k</m:t>
                </m:r>
              </m:sub>
            </m:sSub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  <m:rPr/>
              <m:t>L</m:t>
            </m:r>
          </m:sup>
        </m:sSup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– количество раз, когда токен </w:t>
      </w:r>
      <m:oMath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  <m:rPr>
                <m:sty m:val="i"/>
              </m:rPr>
              <m:t>j</m:t>
            </m:r>
          </m:sub>
        </m:sSub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был маршрутизирован эксперту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</m:ctrlPr>
          </m:sSupPr>
          <m:e>
            <m:sSub>
              <m:sSubPr>
                <m:ctrlPr>
                  <w:rPr>
                    <w:rFonts w:ascii="Cambria Math" w:hAnsi="Cambria Math" w:eastAsia="Cambria Math" w:cs="Cambria Math"/>
                    <w:color w:val="000000" w:themeColor="text1"/>
                    <w:sz w:val="24"/>
                    <w:szCs w:val="24"/>
                    <w:highlight w:val="none"/>
                    <w:lang w:val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  <w:highlight w:val="none"/>
                    <w:lang w:val="ru-RU"/>
                  </w:rPr>
                  <m:rPr>
                    <m:sty m:val="i"/>
                  </m:rPr>
                  <m:t>E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color w:val="000000" w:themeColor="text1"/>
                    <w:sz w:val="24"/>
                    <w:szCs w:val="24"/>
                    <w:highlight w:val="none"/>
                    <w:lang w:val="ru-RU"/>
                  </w:rPr>
                  <m:rPr>
                    <m:sty m:val="i"/>
                  </m:rPr>
                  <m:t>k</m:t>
                </m:r>
              </m:sub>
            </m:sSub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  <m:rPr/>
              <m:t>L</m:t>
            </m:r>
          </m:sup>
        </m:sSup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Используется конечное количество токенов, записанных в словаре, которые были получены при более раннем инференсе. В случае появления нового токена, при помощи метрики косинусного расстояния вычисляется наиболее близкий к нему токен, находящийся в словаре.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Вторая оптимизация состоит в объеденении токенов в кластеры на основе вероятностей, полученных на предыдущем шаге. Эту проблему можно описать в виде задачи линейного программирования: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>
              <m:sty m:val="i"/>
            </m:rPr>
            <m:t>L=θ</m:t>
          </m:r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E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 </m:t>
                  </m:r>
                  <m:nary>
                    <m:naryPr>
                      <m:chr m:val="∑"/>
                      <m:grow m:val="off"/>
                      <m:ctrlPr>
                        <w:rPr>
                          <w:rFonts w:ascii="Cambria Math" w:hAnsi="Cambria Math" w:eastAsia="Cambria Math" w:cs="Cambria Math"/>
                          <w:i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naryPr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j=1</m:t>
                      </m:r>
                    </m:sub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t</m:t>
                      </m:r>
                    </m:sup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color w:val="000000" w:themeColor="text1"/>
                                  <w:sz w:val="24"/>
                                  <w:szCs w:val="24"/>
                                  <w:highlight w:val="none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4"/>
                                  <w:szCs w:val="24"/>
                                  <w:highlight w:val="none"/>
                                  <w:lang w:val="ru-RU"/>
                                </w:rPr>
                                <m:rPr>
                                  <m:sty m:val="i"/>
                                </m:rPr>
                                <m:t>R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i,j,a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/>
                        <m:t>- 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>
                              <m:sty m:val="i"/>
                            </m:rPr>
                            <m:t>S</m:t>
                          </m:r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>
                              <m:sty m:val="i"/>
                            </m:rPr>
                            <m:t>E</m:t>
                          </m:r>
                        </m:den>
                      </m:f>
                    </m:e>
                  </m:nary>
                </m:e>
              </m:d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+ (1-θ)</m:t>
              </m:r>
              <m:nary>
                <m:naryPr>
                  <m:chr m:val="∑"/>
                  <m:grow m:val="off"/>
                  <m:limLoc m:val="undOvr"/>
                  <m:supHide m:val="on"/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i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1</m:t>
                      </m:r>
                    </m:sub>
                  </m:s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≠</m:t>
                  </m:r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/>
                        <m:t>i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/>
                        <m:t>2</m:t>
                      </m:r>
                    </m:sub>
                  </m:sSub>
                </m:sub>
                <m:sup/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(</m:t>
                  </m:r>
                  <m:nary>
                    <m:naryPr>
                      <m:chr m:val="∑"/>
                      <m:grow m:val="off"/>
                      <m:limLoc m:val="undOvr"/>
                      <m:ctrlPr>
                        <w:rPr>
                          <w:rFonts w:ascii="Cambria Math" w:hAnsi="Cambria Math" w:eastAsia="Cambria Math" w:cs="Cambria Math"/>
                          <w:i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</m:ctrlPr>
                    </m:naryPr>
                    <m:sub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j=1</m:t>
                      </m:r>
                    </m:sub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4"/>
                          <w:szCs w:val="24"/>
                          <w:highlight w:val="none"/>
                          <w:lang w:val="ru-RU"/>
                        </w:rPr>
                        <m:rPr>
                          <m:sty m:val="i"/>
                        </m:rPr>
                        <m:t>t</m:t>
                      </m:r>
                    </m:sup>
                    <m:e>
                      <m:nary>
                        <m:naryPr>
                          <m:chr m:val="∑"/>
                          <m:grow m:val="off"/>
                          <m:limLoc m:val="undOvr"/>
                          <m:ctrlPr>
                            <w:rPr>
                              <w:rFonts w:ascii="Cambria Math" w:hAnsi="Cambria Math" w:eastAsia="Cambria Math" w:cs="Cambria Math"/>
                              <w:i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</m:ctrlPr>
                        </m:naryPr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>
                              <m:sty m:val="i"/>
                            </m:rPr>
                            <m:t>k=1</m:t>
                          </m:r>
                        </m:sub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>
                              <m:sty m:val="i"/>
                            </m:rP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hAnsi="Cambria Math" w:eastAsia="Cambria Math" w:cs="Cambria Math"/>
                                  <w:color w:val="000000" w:themeColor="text1"/>
                                  <w:sz w:val="24"/>
                                  <w:szCs w:val="24"/>
                                  <w:highlight w:val="none"/>
                                  <w:lang w:val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color w:val="000000" w:themeColor="text1"/>
                                          <w:sz w:val="24"/>
                                          <w:szCs w:val="24"/>
                                          <w:highlight w:val="none"/>
                                          <w:lang w:val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color w:val="000000" w:themeColor="text1"/>
                                          <w:sz w:val="24"/>
                                          <w:szCs w:val="24"/>
                                          <w:highlight w:val="none"/>
                                          <w:lang w:val="ru-RU"/>
                                        </w:rPr>
                                        <m:rPr/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color w:val="000000" w:themeColor="text1"/>
                                          <w:sz w:val="24"/>
                                          <w:szCs w:val="24"/>
                                          <w:highlight w:val="none"/>
                                          <w:lang w:val="ru-RU"/>
                                        </w:rPr>
                                        <m:rPr/>
                                        <m:t>1j</m:t>
                                      </m:r>
                                    </m:sub>
                                  </m:sSub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C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color w:val="000000" w:themeColor="text1"/>
                                          <w:sz w:val="24"/>
                                          <w:szCs w:val="24"/>
                                          <w:highlight w:val="none"/>
                                          <w:lang w:val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color w:val="000000" w:themeColor="text1"/>
                                          <w:sz w:val="24"/>
                                          <w:szCs w:val="24"/>
                                          <w:highlight w:val="none"/>
                                          <w:lang w:val="ru-RU"/>
                                        </w:rPr>
                                        <m:rPr/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color w:val="000000" w:themeColor="text1"/>
                                          <w:sz w:val="24"/>
                                          <w:szCs w:val="24"/>
                                          <w:highlight w:val="none"/>
                                          <w:lang w:val="ru-RU"/>
                                        </w:rPr>
                                        <m:rPr/>
                                        <m:t>2k</m:t>
                                      </m:r>
                                    </m:sub>
                                  </m:sSub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jk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  <w:highlight w:val="none"/>
                                      <w:lang w:val="ru-RU"/>
                                    </w:rPr>
                                    <m:rPr/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hint="default" w:ascii="Cambria Math" w:hAnsi="Cambria Math" w:eastAsia="Cambria Math" w:cs="Cambria Math"/>
                              <w:color w:val="000000" w:themeColor="text1"/>
                              <w:sz w:val="24"/>
                              <w:szCs w:val="24"/>
                              <w:highlight w:val="none"/>
                              <w:lang w:val="ru-RU"/>
                            </w:rPr>
                            <m:rPr/>
                            <m:t>)-&gt;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eastAsia="Cambria Math" w:cs="Cambria Math"/>
                                  <w:color w:val="000000" w:themeColor="text1"/>
                                  <w:sz w:val="24"/>
                                  <w:szCs w:val="24"/>
                                  <w:highlight w:val="none"/>
                                  <w:lang w:val="ru-RU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4"/>
                                  <w:szCs w:val="24"/>
                                  <w:highlight w:val="none"/>
                                  <w:lang w:val="ru-RU"/>
                                </w:rPr>
                                <m:rPr>
                                  <m:sty m:val="p"/>
                                </m:rPr>
                                <m:t>min</m:t>
                              </m:r>
                            </m:fName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rPr/>
                                <m:t> </m:t>
                              </m:r>
                              <m:d>
                                <m:dPr>
                                  <m:begChr m:val="("/>
                                  <m:endChr m:val=")"/>
                                  <m:ctrlPr>
                                    <w:rPr>
                                      <w:rFonts w:ascii="Cambria Math" w:hAnsi="Cambria Math" w:eastAsia="Cambria Math" w:cs="Cambria Math"/>
                                      <w:color w:val="000000" w:themeColor="text1"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rPr/>
                                    <m:t>5</m:t>
                                  </m:r>
                                </m:e>
                              </m:d>
                            </m:e>
                          </m:func>
                        </m:e>
                      </m:nary>
                    </m:e>
                  </m:nary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 </m:t>
                  </m:r>
                </m:e>
              </m:nary>
            </m:e>
          </m:nary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R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R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ij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=1, j=1..t</m:t>
              </m:r>
            </m:e>
          </m:nary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E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P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ij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=1, j=1..N</m:t>
              </m:r>
            </m:e>
          </m:nary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nary>
            <m:naryPr>
              <m:chr m:val="∑"/>
              <m:grow m:val="off"/>
              <m:limLoc m:val="undOvr"/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j=1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>
                  <m:sty m:val="i"/>
                </m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C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/>
                    <m:t>ij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=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N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E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, i=1..t</m:t>
              </m:r>
            </m:e>
          </m:nary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t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количество уникальных токенов,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N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количество экспертов на слой.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E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количество кластеров,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ru-RU"/>
              </w:rPr>
              <m:rPr>
                <m:sty m:val="i"/>
              </m:rPr>
              <m:t>j</m:t>
            </m:r>
          </m:sub>
        </m:sSub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частота токена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en-US"/>
          </w:rPr>
          <m:rPr>
            <m:sty m:val="i"/>
          </m:rPr>
          <m:t>j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  <m:rPr/>
              <m:t>jk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en-US"/>
          </w:rPr>
          <m:rPr/>
          <m:t> 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прогнозируемая вероятность того, что токен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j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активирует эксперта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k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  <m:rPr>
                <m:sty m:val="i"/>
              </m:rPr>
              <m:t>R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  <m:rPr>
                <m:sty m:val="i"/>
              </m:rPr>
              <m:t>ij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en-US"/>
          </w:rPr>
          <m:rPr/>
          <m:t>∈ {0,1}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- размещение токена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j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 кластере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i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m:oMath>
        <m:sSub>
          <m:sSub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highlight w:val="none"/>
                <w:lang w:val="en-US"/>
              </w:rPr>
              <m:rPr>
                <m:sty m:val="i"/>
              </m:rPr>
              <m:t>ij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en-US"/>
          </w:rPr>
          <m:rPr/>
          <m:t>∈ {0,1}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размещение эксперта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j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 кластере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highlight w:val="none"/>
            <w:lang w:val="ru-RU"/>
          </w:rPr>
          <m:rPr>
            <m:sty m:val="i"/>
          </m:rPr>
          <m:t>i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На рисунке 9 представлена карта частоты активаций эксперта в зависимости от токена на первом слое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DeepSeek-MoE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108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1612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341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4.3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8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Частота активации эксперта от токена на первом слое модели DeepSeek-MoE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Для моделирования связи между кластерами используется также модель на условных вероятностях: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>
              <m:sty m:val="i"/>
            </m:rPr>
            <m:t>P(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D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ru-RU"/>
                    </w:rPr>
                    <m:rPr>
                      <m:sty m:val="i"/>
                    </m:rPr>
                    <m:t>k</m:t>
                  </m:r>
                </m:sub>
              </m:sSub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L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| </m:t>
          </m:r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D</m:t>
              </m:r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L-1</m:t>
              </m:r>
            </m:sup>
          </m:sSup>
          <m:sSup>
            <m:sSupPr>
              <m:ctrlPr>
                <w:rPr>
                  <w:rFonts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,...,D</m:t>
              </m:r>
            </m:e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ru-RU"/>
                </w:rPr>
                <m:rPr/>
                <m:t>L-n</m:t>
              </m:r>
            </m:sup>
          </m:sSup>
          <m:r>
            <w:rPr>
              <w:rFonts w:hint="default" w:ascii="Cambria Math" w:hAnsi="Cambria Math" w:eastAsia="Cambria Math" w:cs="Cambria Math"/>
              <w:color w:val="000000" w:themeColor="text1"/>
              <w:sz w:val="24"/>
              <w:szCs w:val="24"/>
              <w:highlight w:val="none"/>
              <w:lang w:val="ru-RU"/>
            </w:rPr>
            <m:rPr/>
            <m:t>) (6) </m:t>
          </m:r>
        </m:oMath>
      </m:oMathPara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Где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color w:val="000000" w:themeColor="text1"/>
                <w:sz w:val="24"/>
                <w:lang w:val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4"/>
                <w:szCs w:val="24"/>
                <w:lang w:val="ru-RU"/>
              </w:rPr>
              <m:rPr>
                <m:sty m:val="i"/>
              </m:rPr>
              <m:t>D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lang w:val="ru-RU"/>
              </w:rPr>
              <m:rPr>
                <m:sty m:val="i"/>
              </m:rPr>
              <m:t>l</m:t>
            </m:r>
          </m:sup>
        </m:sSup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индекс устройства, где выбранному эксперту соответствует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4"/>
            <w:szCs w:val="24"/>
            <w:lang w:val="ru-RU"/>
          </w:rPr>
          <m:rPr>
            <m:sty m:val="i"/>
          </m:rPr>
          <m:t>l</m:t>
        </m:r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й слой произвольного токена.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На рисунке 10 представлена карта частоты активаций эксперта на слое 5 в зависимости от активации эксперта на слое 4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Mixtral-8x7b.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6963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6223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569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02.3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9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частота активаций эксперта на слое 5 в зависимости от активации эксперта на слое 4 Mixtral-8x7b.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частоты активаций эксперта на слое 5 в зависимости от активации эксперта на слое 4 Mixtral-8x7b.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hd w:val="nil" w:color="auto"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5"/>
        <w:pBdr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/>
      <w:bookmarkStart w:id="11" w:name="_Toc11"/>
      <w:r>
        <w:rPr>
          <w:rFonts w:ascii="Times New Roman" w:hAnsi="Times New Roman" w:eastAsia="Times New Roman" w:cs="Times New Roman"/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Инструменты для реализации распределенного инференса</w:t>
      </w:r>
      <w:r/>
      <w:bookmarkEnd w:id="11"/>
      <w:r/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 рамках работы рассмотрены три фреймворка, предоставляющих инструменты для распределенного инференса: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MindSpore [1], DeepSpeed [7], Megatron-LM [8].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886"/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/>
      <w:bookmarkStart w:id="12" w:name="_Toc1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en-US"/>
        </w:rPr>
        <w:t xml:space="preserve">3.1. MindSpore</w:t>
      </w:r>
      <w:r/>
      <w:bookmarkEnd w:id="12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MindSpore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— это открытая и гибкая вычислительная фреймворк-платформа для разработки и выполнения моделей искусственного интеллекта, созданная компанией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Huawei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. Платформа распространяется с полностью открытым исходным кодом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 и, помимо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GPU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способна работать на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NPU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процессорах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Ascend.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Одной из ключевых особенностей MindSpore является её способность выполнять распределённое обучение без использования сторонних библиотек, таких как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PyTorch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, для реализации коллективных операций. Вместо этого платформа использует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</w:rPr>
        <w:t xml:space="preserve">библиотеку OpenMPI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whit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Однако, это также является и его проблемой, поскольку нет возможности применять оптимизации других фреймворков, созданных под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torch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, а также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некоторые инструменты, связанные с предоставлением обученных моделей могут быть недоступны.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MindSpore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обладает встроенной поддержкой продвинутых методов распараллеливания, включая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тензорный конвейерный параллелизм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экспертный параллелизм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а также позволяет использовать их комбинации для эффективного масштабирования вычислений при обучении крупных моделей. Платформа также предоставляет унифицированное промежуточное представление модели —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MindIR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которое выступает в роли абстрактной прослойки между Python- и C++-компонентами фреймворка, обеспечивая гибкость и переносимость моделей.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Кроме того, MindSpore поддерживает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lang w:val="en-US"/>
        </w:rPr>
        <w:t xml:space="preserve">JIT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 компиляцию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позволяющую динамически оптимизировать выполнение функций, что способствует значительному ускорению вычислений и повышению общей производительности.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Несмотря на широкие функциональные возможности и высокую степень интеграции с аппаратными средствами, развитие фреймворка в настоящее время сосредоточено в первую очередь на поддержке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собственных чипов Huawei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серии Ascend. Поддержка устройств других производителей, в частности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GPU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остаётся менее приоритетной: используются устаревшие версии технологий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что ограничивает возможность применения современных оптимизаций и библиотек NVIDIA.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/>
      <w:bookmarkStart w:id="13" w:name="_Toc13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en-US"/>
        </w:rPr>
        <w:t xml:space="preserve">3.2. DeepSpeed</w:t>
      </w:r>
      <w:r/>
      <w:bookmarkEnd w:id="13"/>
      <w:r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DeepSpeed — это масштабируемая библиотека с открытым исходным кодом, разработанная Microsoft Research для ускорения и оптимизации процесса обучения глубоких нейронных сетей. Она предоставляет мощные инструменты для эффективного использования вычислительных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ресурсов, что особенно важно при работе с крупномасштабными моделями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Реализована при помощи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torch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, благодаря чему способно использовать множество оптимизаций. К тому же хорошо интегрируется с другими фреймворками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HuggingFace Transformers, Fairseq, Megatron-LM, Lightnig AI.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  <w:t xml:space="preserve">Deespeed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поддерживает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  <w:t xml:space="preserve">конвейерный и экспертный параллелизм.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  <w:t xml:space="preserve">Также благодаря технологии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ZeRO-inference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 [9]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 способен выгружать части модели на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CPU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и диск. При этом используется библиотека для асинхронной передачи данных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между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RAM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и дисковой памятью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DeepNVMe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, что дает возможность перекрывать коммуникационные операции вычислительными и существенно повысить скорость инференса.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Еще одним важным преимуществом DeepSpeed является поддержка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тензорного параллелизма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для моделей из библиотеки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Hugging Face Transformers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с возможностью его применения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«на лету»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без предварительной модификации архитектуры. Это позволяет эффективно распределять вычисления между GPU, обеспечивая масштабируемость и высокую производительность.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Однако такой подход связан с увеличением потребления памяти из-за дублирования данных и межпроцессного взаимодействия. В других фреймворках использование тензорного параллелизма, как правило, требует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предварительного разбиения модели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вручную, что усложняет интеграцию и снижает гибкость.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Однако стоит отметить, что данный инструмент еще достаточно сырой и возникает множество проблем с его использованием. К примеру, нет возможности использования тензорного параллелизма вместе с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ZeRO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, из-за чего приходится использовать дополнительные фреймворки по типу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Megatron-LM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Следует отметить, что несмотря на широкие возможности DeepSpeed, инструмент всё ещё находится на этапе активной разработки и в ряде аспектов является недостаточно зрелым. Это проявляется в виде различных ограничений и сложностей при практическом использова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нии. Например, на текущий момент отсутствует полноценная поддержка одновременного использования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тензорного параллелизма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и технологии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ZeRO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что сужает возможности для эффективного масштабирования моделей на больших кластерах.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В связи с этим, для реализации более сложных сценариев распределённого обучения, таких как гибридный параллелизм с высокой степенью оптимизации, зачастую приходится прибегать к дополнительным фреймворкам, таким как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Megatron-LM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, которые обеспечивают необходимый уровень гибкости и производительности.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Style w:val="886"/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/>
      <w:bookmarkStart w:id="14" w:name="_Toc14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</w:rPr>
        <w:t xml:space="preserve">3.3.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en-US"/>
        </w:rPr>
        <w:t xml:space="preserve">Megatron-LM</w:t>
      </w:r>
      <w:r/>
      <w:bookmarkEnd w:id="14"/>
      <w:r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b/>
          <w:color w:val="000000" w:themeColor="text1"/>
          <w:spacing w:val="5"/>
          <w:sz w:val="24"/>
          <w:highlight w:val="white"/>
        </w:rPr>
        <w:t xml:space="preserve">Megatron-LM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— это исследовательский проект, разработанный компанией NVIDIA, предназначенный для эффективного обучения крупномасштабных языковых моделей на основе архитектуры Transformer. Фреймворк изначально ориентирован на решение задачи масштабирования моделей по чи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слу параметров и вычислительных ресурсов, что делает его особенно актуальным в условиях роста сложности современных моделей глубокого обучения.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Megatron-LM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поддерживает два вида параллелизма: конвейерный и тензорный. К тому же имеет имеет тесную интеграцию с оборудованием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NVIDIA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, благодаря чему может использовать множество оптимизаций. Может хорошо интегрироваться с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DeepSpeed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, благодаря чему существует возможность обучать такие модели как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Megatron-Turing NLG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Однако, имеет две важные проблемы.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Во-первых, он требует значительного уровня экспертизы в области распределённого обучения и программирования на уровне GPU.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 xml:space="preserve"> Во-вторых, этот инструмент изначально разрабатывался для обучения моделей, вследствие чего многие инструменты для ускорения инференса недоступны и их необходимо реализовывать самостоятельно.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szCs w:val="24"/>
          <w:highlight w:val="none"/>
        </w:rPr>
      </w:r>
    </w:p>
    <w:p>
      <w:pPr>
        <w:pStyle w:val="885"/>
        <w:pBdr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15" w:name="_Toc15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8"/>
          <w:szCs w:val="28"/>
          <w:highlight w:val="none"/>
          <w:lang w:val="ru-RU"/>
        </w:rPr>
        <w:t xml:space="preserve">4. Практические эксперименты.</w:t>
      </w:r>
      <w:r/>
      <w:bookmarkEnd w:id="15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/>
        <w:tabs>
          <w:tab w:val="center" w:leader="none" w:pos="4677"/>
        </w:tabs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lang w:val="ru-RU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Эксперименты проводились на вычислительном кластере, оснащённом двумя GPU NVIDIA GeForce RTX 2080 Ti, каждый из которых обладал 11 ГБ видеопамяти, а объём оперативной памяти системы составлял 32 ГБ. Для исследования влияния архитектурных параметров на масш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табируемость моделей использовались две конфигурации: в случае плотной модели изменялось количество слоёв, а в случае архитектуры MoE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дополнительно варьировалось число экспертов. Подробные спецификации исследованных моделей, а также фо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рмулы для расчёта их размера, приведены в Приложении А.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  <w:t xml:space="preserve"> В приложении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en-US"/>
        </w:rPr>
        <w:t xml:space="preserve">B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представлены результаты всех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886"/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/>
      <w:bookmarkStart w:id="16" w:name="_Toc1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en-US"/>
        </w:rPr>
        <w:t xml:space="preserve">4.1.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Тензорный параллелизм и параллелизм по данным для плотных моделей</w:t>
      </w:r>
      <w:r/>
      <w:bookmarkEnd w:id="16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Рассмотрим сравнение тензорного параллелизма и параллелизма по данным. На рисунке 10 приведено сравнение объёма видеопамяти, потребляемой каждым GPU, при использовании указанных стратегий распределения вычислений.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470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737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934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31.0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whit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10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тензорного параллелизма и параллелизма по данным по количеству потребляемой памяти на GPU для плотных моделей 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</w:t>
        <w:tab/>
        <w:t xml:space="preserve">Анализ графика показывает, что при относит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ельно небольших моделях объём памяти, занимаемый на каждом GPU при использовании тензорного параллелизма, составляет примерно на 1.5 раза меньше, чем в случае параллелизма по данным. При увеличении размера модели разница в потреблении памяти становится ещё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 более значительной и достигает почти двукратного снижения при использовании тензорного параллелизма. Это позволяет эффективнее использовать доступные вычислительные ресурсы и обучать значительно более крупные модели.</w:t>
      </w:r>
      <w:r>
        <w:rPr>
          <w:color w:val="000000" w:themeColor="text1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Однако, из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рисунка 11 можно сделать вывод, что при использовании тензорного параллелизма на небольших моделях задержки выше, чем при использовании параллелизма по данным. Это связано с необходимостью выполнения коллективных операций, создающие задержки при инференсе.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3154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8524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031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8.7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11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тензорного параллелизма и параллелизма по данным по объему задержек для плотных моделей 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 xml:space="preserve">Из этого можно сделать вывод, что тензорный параллелизм эффективно использовать на больших моделях, на более маленьких лучше параллелизм по данным.</w:t>
      </w:r>
      <w:r>
        <w:rPr>
          <w:rFonts w:ascii="Times New Roman" w:hAnsi="Times New Roman" w:cs="Times New Roman"/>
          <w:color w:val="000000" w:themeColor="text1"/>
          <w:spacing w:val="5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Style w:val="886"/>
        <w:pBdr/>
        <w:spacing/>
        <w:ind/>
        <w:jc w:val="both"/>
        <w:rPr>
          <w:rFonts w:ascii="Times New Roman" w:hAnsi="Times New Roman" w:cs="Times New Roman"/>
          <w:color w:val="000000" w:themeColor="text1"/>
          <w:spacing w:val="5"/>
          <w:sz w:val="24"/>
          <w:szCs w:val="24"/>
          <w:highlight w:val="none"/>
        </w:rPr>
      </w:pPr>
      <w:r/>
      <w:bookmarkStart w:id="17" w:name="_Toc17"/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ru-RU"/>
        </w:rPr>
        <w:t xml:space="preserve">4.2. Использование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en-US"/>
        </w:rPr>
        <w:t xml:space="preserve">ZeRO c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en-US"/>
        </w:rPr>
        <w:t xml:space="preserve">CPU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  <w:sz w:val="24"/>
          <w:highlight w:val="none"/>
          <w:lang w:val="en-US"/>
        </w:rPr>
        <w:t xml:space="preserve">NVMe</w:t>
      </w:r>
      <w:r/>
      <w:bookmarkEnd w:id="17"/>
      <w:r/>
      <w:r>
        <w:rPr>
          <w:rFonts w:ascii="Times New Roman" w:hAnsi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Рассмотрим использование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при выгрузке параметров модели на диск и в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RAM.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На рисунке 12 представлено сравнение задержек инференса при выгрузке параметров на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CPU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NVMe.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Анализ графика демонстрирует, что задержки при использовании NVMe значительно превышают аналогичные значения при выгрузке в оперативную память CPU. Это обусловлено тем, что при работе с моделями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небольшой величины отсутствует эффективное перекрытие операций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межпроцессорной коммуникации вычислениями, что в свою очередь приводит к увеличении задержек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Таким образом, применение стратегии выгрузки параметров модели на NVMe оправдано лишь в случае работы с очень крупными моделями, где объем хранимых данных превышает объём доступной оперативной памяти, и использование высокоскоростного хранилища становится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необходимым для обеспечения возможности масштабирования. </w:t>
      </w:r>
      <w:r>
        <w:rPr>
          <w:rFonts w:ascii="Times New Roman" w:hAnsi="Times New Roman" w:cs="Times New Roman"/>
          <w:color w:val="000000" w:themeColor="text1"/>
          <w:sz w:val="24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en-US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2448" cy="27793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54541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642447" cy="2779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4.29pt;height:218.8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  <w:lang w:val="en-US"/>
        </w:rPr>
      </w:r>
      <w:r>
        <w:rPr>
          <w:color w:val="000000" w:themeColor="text1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12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задержек при выгрузке параметров модели на диск и в RAM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Style w:val="886"/>
        <w:pBdr/>
        <w:spacing/>
        <w:ind/>
        <w:jc w:val="both"/>
        <w:rPr>
          <w:color w:val="000000" w:themeColor="text1"/>
        </w:rPr>
      </w:pPr>
      <w:r/>
      <w:bookmarkStart w:id="18" w:name="_Toc18"/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4.3. Использование тензорного параллелизма с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и без него</w:t>
      </w:r>
      <w:r/>
      <w:bookmarkEnd w:id="18"/>
      <w:r/>
      <w:r>
        <w:rPr>
          <w:color w:val="000000" w:themeColor="text1"/>
        </w:rPr>
      </w:r>
    </w:p>
    <w:p>
      <w:pPr>
        <w:pBdr/>
        <w:spacing/>
        <w:ind w:firstLine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Рассмотрим применение тензорного параллелизма в сочетании с технологией ZeRO. На рисунке 13 приведено сравнение объёма видеопамяти, требуемого для каждой GPU при различных размерах модели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. Из графика можно сделать вывод,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что использование ZeRO приводит к значительному снижению объёма видеопамяти, необходимого на каждую отдельную 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. При этом разность увеличивается при увеличении размера модели. К тому же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, как видно из графика,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позволяет значительно увеличить размеров модели для инференса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  <w:lang w:val="ru-RU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ри этом разница в потреблении памяти между сценарием с использованием ZeRO и без него возрастает по мере увеличения размера модели.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Кроме того, как видно из представленных данных, применение ZeRO позволяет обрабатывать модели значительно большего размера в ходе инференса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4471" cy="257055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1769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344470" cy="257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0.82pt;height:202.4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13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тензорного параллелизма с ZeRO и без него по количеству потребляемой памяти на GPU для плотных моделей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К тому же, при анализе рисунка 14 можно сделать вывод, что благодаря технологии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могут быть уменьшены задержки. Следовательно, использование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 пределах одного узла с тензорным параллелизмом может привести к суперлинейному ускорению.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93272" cy="276817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5503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593272" cy="2768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40.42pt;height:217.9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14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задержек при использовании тензорного параллелизма с выгрузкой параметров и без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Style w:val="886"/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/>
      <w:bookmarkStart w:id="19" w:name="_Toc19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en-US"/>
        </w:rPr>
        <w:t xml:space="preserve">4.4.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ru-RU"/>
        </w:rPr>
        <w:t xml:space="preserve">Использование параллелизма по данным и тензорного параллелизма с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lang w:val="en-US"/>
        </w:rPr>
        <w:t xml:space="preserve">ZeRO.</w:t>
      </w:r>
      <w:r/>
      <w:bookmarkEnd w:id="19"/>
      <w:r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Рассмотрим применение технологии ZeRO в комбинации с тензорным параллелизмом и параллелизмом по данным. На рисунке 15 представлено сравнение задержек, возникающих при выполнении инференса с использованием выгрузки параметров мод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ели, для указанных стратегий параллелизма.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Анализ графика позволяет сделать вывод о том, что сочетание тензорного параллелизма с технологией ZeRO обеспечивает меньшие задержки на этапе инференса по сравнению с использованием параллелизма по данным в аналогичных условиях.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szCs w:val="24"/>
          <w:highlight w:val="none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4065" cy="277436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2385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674063" cy="2774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6.78pt;height:218.4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15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объема задержек при использовании ZeRO с тензорным параллелизмом и параллелизмом по данным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Style w:val="886"/>
        <w:pBdr/>
        <w:spacing/>
        <w:ind/>
        <w:jc w:val="both"/>
        <w:rPr>
          <w:color w:val="000000" w:themeColor="text1"/>
        </w:rPr>
      </w:pPr>
      <w:r/>
      <w:bookmarkStart w:id="20" w:name="_Toc20"/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4.5.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Использование тензорного параллелизма вместе с экспертным параллелизмом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.</w:t>
      </w:r>
      <w:r/>
      <w:bookmarkEnd w:id="20"/>
      <w:r/>
      <w:r>
        <w:rPr>
          <w:color w:val="000000" w:themeColor="text1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Использование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Megatron-LM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вместе с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DeepSpeed-MoE [16]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позволяет комбинировать экспертный параллелизм с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ru-RU"/>
        </w:rPr>
        <w:t xml:space="preserve">экспертным.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На рисунке 16 представлено сравнение двух подходов — чистого экспертного параллелизма и комбинации тензорного параллелизма с MoE-архитектурой — по объёму видеопамяти, потребляемой на одну GPU. Анализ графика показывает, что применение тензорного параллелиз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ма позволяет сократить объём используемой памяти примерно в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1.4 раза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1876" cy="266710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209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601876" cy="2667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1.09pt;height:210.0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16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использование экспертного параллелизма с тензорным и без по количеству потребляемой памяти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Кроме того, согласно данным, представленным на рисунке 17, задержки при выполнении инференса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none"/>
        </w:rPr>
        <w:t xml:space="preserve">в целом одинаковы.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2640" cy="277393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5976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702639" cy="2773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49.03pt;height:218.4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23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17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0"/>
          <w:szCs w:val="20"/>
        </w:rPr>
        <w:t xml:space="preserve">. Сравнение использования экспертного параллелизма с тензорным и без по объему задержек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0"/>
          <w:szCs w:val="20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Из этого можно сд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елать вывод, что комбинация этих видов параллелизма является эффективным решением с точки зрения количества потребляемой памяти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885"/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21" w:name="_Toc2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Вывод</w:t>
      </w:r>
      <w:r/>
      <w:bookmarkEnd w:id="21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0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В ходе выполнения данной работы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ru-RU"/>
        </w:rPr>
        <w:t xml:space="preserve">исследованы различные способы параллелизма моделей и изучены ил основные преимущества и недостатки. 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Рассмотрены подходы к оптимизации распределённого инференса, включая выгрузку параметров модели из памяти GPU, оптимизацию коллективных коммуникационных операций, а также перераспределение токенов и экспертов между вычислительными ускорителями.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 w:firstLine="708"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Проведён анализ существующих фреймворков, предоставляющих инструменты для реализации распределённого инференса. Для каждого из рассмотренных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</w:rPr>
        <w:t xml:space="preserve"> выявлены ключевые достоинства и недостатки.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Проведены практические экспериментами с тензорным параллелизмом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параллелизмом по данным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и экспертным параллелизмом с использованием оптимизации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 без. И показано, что: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947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Тензорный параллелизм позволяет значительно снизить объём видеопамяти, необходимой на каждом GPU, что делает возможным размещение более крупных моделей по сравнению с параллелизмом по данным. При этом при достаточной сложности модели увеличение задержек ок</w:t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азывается незначительным или отсутствует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вовсе.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Из-за плохо перекрытия коммуникаций между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RAM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дисковой памятью на небольших моделях использование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с выгрузкой параметров на диск может оказаться значительно менее эффективным в сравнении с выгрузкой только в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RAM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Применение оптимизации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ZeRO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в сочетании тензорным параллелизмом не только дает возможность использовать более большие модели, но и уменьшает задержки при инференсе.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5"/>
          <w:sz w:val="24"/>
          <w:highlight w:val="white"/>
        </w:rPr>
        <w:t xml:space="preserve">Сочетание тензорного параллелизма и оптимизации ZeRO демонстрирует меньшие задержки по сравнению с параллелизмом по данным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Использование тензорного параллелизма вместе с экспертным позволяет сократить объем потребляемом памяти на каждом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GPU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, тем самым дает возможность использовать более большие модели. При этом объемы задержек примерно такие-же как и с использованием только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MoE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параллелизма.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885"/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/>
      <w:bookmarkStart w:id="22" w:name="_Toc2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Список использованной литературы</w:t>
      </w:r>
      <w:r/>
      <w:bookmarkEnd w:id="22"/>
      <w:r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Distributed Parallel Native // mindspore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URL: </w:t>
      </w:r>
      <w:hyperlink r:id="rId31" w:tooltip="https://www.mindspore.cn/docs/en/r2.3.1/design/distributed_training_design.html" w:history="1"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u w:val="single"/>
          </w:rPr>
          <w:t xml:space="preserve">https://www.mindspore.cn/docs/en/r2.3.1/design/distributed_training_design.html 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</w:rPr>
        <w:t xml:space="preserve">(дата обращения: 15.11.2024).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Глубокое обучение // getsomemath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URL:</w:t>
      </w:r>
      <w:hyperlink r:id="rId32" w:tooltip="http://getsomemath.ru/subtopic/deep_learning/mlp/intro_to_mlp" w:history="1"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highlight w:val="white"/>
          </w:rPr>
        </w:r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highlight w:val="white"/>
          </w:rPr>
        </w:r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highlight w:val="white"/>
          </w:rPr>
          <w:t xml:space="preserve">http://getsomemath.ru/subtopic/deep_learning/mlp/intro_to_mlp</w:t>
        </w:r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highlight w:val="white"/>
            <w:lang w:val="en-US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(дата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обращения: 15.11.2024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GPU Performance Background User's Guide // nvidia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URL: </w:t>
      </w:r>
      <w:hyperlink r:id="rId33" w:tooltip="https://docs.nvidia.com/deeplearning/performance/dl-performance-gpu-background/index.html" w:history="1"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highlight w:val="white"/>
            <w:u w:val="single"/>
          </w:rPr>
          <w:t xml:space="preserve">https://docs.nvidia.com/deeplearning/performance/dl-performance-gpu-background/index.html 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(дата обращения: 10.12.2024)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Mastering LLM Techniques: Inference Optimization // nvidia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URL: </w:t>
      </w:r>
      <w:hyperlink r:id="rId34" w:tooltip="https://developer.nvidia.com/blog/mastering-llm-techniques-inference-optimization/" w:history="1">
        <w:r>
          <w:rPr>
            <w:rStyle w:val="930"/>
            <w:rFonts w:ascii="Times New Roman" w:hAnsi="Times New Roman" w:eastAsia="Times New Roman" w:cs="Times New Roman"/>
            <w:b w:val="0"/>
            <w:bCs w:val="0"/>
            <w:color w:val="000000" w:themeColor="text1"/>
            <w:spacing w:val="5"/>
            <w:sz w:val="24"/>
            <w:highlight w:val="white"/>
            <w:u w:val="single"/>
          </w:rPr>
          <w:t xml:space="preserve">https://developer.nvidia.com/blog/mastering-llm-techniques-inference-optimization/ 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(дата обращения: 15.12.2024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Andres Rodriguez. Deep Learning Systems. - 1-е изд. - San Rafael, California: Morgan And Claypoo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white"/>
        </w:rPr>
        <w:t xml:space="preserve">Mohammad Shoeybi, Mostofa Patwary, Raul Puri, Patrick LeGresley, Jared Casper, Bryan Catanzaro. Megatron-LM: Training Multi-Billion Parameter Language Models Using Model Parallelism // arxiv.org. - 202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DeepSpeed // DeepSpeed URL: https://www.deepspeed.ai/ (дата обращения: 03.06.2025).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Megatron-LM // HuggingFace URL: https://huggingface.co/docs/accelerate/usage_guides/megatron_lm (дата обращения: 03.06.2025).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ZeRO inference // DeepSpeed URL: https://www.deepspeed.ai/2022/09/09/zero-inference.html (дата обращения: 03.06.2025).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Megatron-LM GPT2 // DeepSpeed URL: https://www.deepspeed.ai/tutorials/megatron/ (дата обращения: 03.06.2025).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eza Yazdani Aminabadi, Samyam Rajbhandari, Minjia Zhang, Ammar Ahmad Awan, Cheng Li, Du Li, Elton Zheng, Jeff Rasley, Shaden Smith, Olatunji Ruwase, Yuxiong He DeepSpeed Inference: Enabling Efficient Inference of Transformer Models at Unprecedented Scale /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/ arxiv.org. - 2022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Samyam Rajbhandari, Olatunji Ruwase, Jeff Rasley, Shaden Smith, Yuxiong He ZeRO-Infinity: Breaking the GPU Memory Wall for Extreme Scale Deep Learning // arxiv.org. - 2021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DeepNVMe // Github URL: https://github.com/deepspeedai/DeepSpeed/blob/master/blogs/deepspeed-gds (дата обращения: 03.06.2025).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Mixture of Experts Explained // HuggingFace URL: https://huggingface.co/blog/moe (дата обращения: 03.06.2025).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Dmitry Lepikhin, HyoukJoong Lee, Yuanzhong Xu, Dehao Chen, Orhan Firat, Yanping Huang, Maxim Krikun, Noam Shazeer, Zhifeng Chen GShard: Scaling Giant Models with Conditional Computation and Automatic Sharding // 2020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Samyam Rajbhandari, Conglong Li, Zhewei Yao, Minjia Zhang, Reza Yazdani Aminabadi, Ammar Ahmad Awan, Jeff Rasley, and Yuxiong He DeepSpeed-MoE: Advancing Mixture-of-Experts Inference and Training to Power Next-Generation AI Scale // 2022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r>
    </w:p>
    <w:p>
      <w:pPr>
        <w:pStyle w:val="947"/>
        <w:numPr>
          <w:ilvl w:val="0"/>
          <w:numId w:val="7"/>
        </w:numPr>
        <w:pBdr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</w:pBdr>
        <w:shd w:val="clear" w:color="ffffff" w:fill="ffffff"/>
        <w:spacing w:after="180" w:before="180"/>
        <w:ind w:right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  <w:t xml:space="preserve">Yan Li, Pengfei Zheng, Shuang Chen, Zewei Xu, Yuanhao Lai, Yunfei Du, Zhengang Wang Speculative MoE: Communication Efficient Parallel MoE Inference with Speculative Token and Expert Pre-scheduling // 2025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5"/>
          <w:sz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  <w:br w:type="page" w:clear="all"/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r>
    </w:p>
    <w:p>
      <w:pPr>
        <w:pStyle w:val="885"/>
        <w:pBdr/>
        <w:spacing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/>
      <w:bookmarkStart w:id="23" w:name="_Toc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Приложение А</w:t>
      </w:r>
      <w:r/>
      <w:bookmarkEnd w:id="23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Bdr/>
        <w:spacing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color w:val="2c2c36"/>
          <w:spacing w:val="5"/>
          <w:sz w:val="24"/>
          <w:szCs w:val="24"/>
          <w:highlight w:val="white"/>
        </w:rPr>
        <w:t xml:space="preserve">Для изменения размера плотной модели варьировалось количество слоёв. В архитектуре MoE, помимо этого, также изменялось число экспертов. Все остальные параметры оставались неизменными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Размерность вектора скрытого состояния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(H): 4096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Число голов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: 32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Длина последовательности токенов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: 1024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Максимальный размер последовательности: 2048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Размер слоя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FFN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FFN size, F): 4096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Максимальный размер позиционного эмбеддинга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Размер батча: 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Размер словаря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 50372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Размер параметра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float 16): 2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байта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Количество слоев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N)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947"/>
        <w:numPr>
          <w:ilvl w:val="0"/>
          <w:numId w:val="8"/>
        </w:num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Число экспертов 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Формула для вычисления плотной трансформерной модели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(GB)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lang w:val="en-US"/>
            </w:rPr>
            <m:rPr>
              <m:sty m:val="i"/>
            </m:rPr>
            <m:t>Size =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  <w:highlight w:val="none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lang w:val="en-US"/>
                </w:rPr>
                <m:rPr>
                  <m:sty m:val="i"/>
                </m:rPr>
                <m:t>2*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4"/>
                      <w:highlight w:val="none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>
                      <m:sty m:val="i"/>
                    </m:rPr>
                    <m:t>4*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  <w:sz w:val="24"/>
                          <w:highlight w:val="none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  <w:sz w:val="24"/>
                              <w:highlight w:val="none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H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highlight w:val="none"/>
                          <w:lang w:val="en-US"/>
                        </w:rPr>
                        <m:rPr/>
                        <m:t>+H</m:t>
                      </m:r>
                    </m:e>
                  </m:d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/>
                    <m:t>+2*H*F + 3*H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lang w:val="en-US"/>
                </w:rPr>
                <m:rPr/>
                <m:t>*N + V*H + H*M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sz w:val="24"/>
                      <w:highlight w:val="none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>
                      <m:sty m:val="i"/>
                    </m:rPr>
                    <m:t>2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/>
                    <m:t>30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lang w:val="en-US"/>
            </w:rPr>
            <m:rPr/>
            <m:t>≈0.186*N+0.26</m:t>
          </m:r>
        </m:oMath>
      </m:oMathPara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Формула для вычисления модели с архитектурой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MoE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708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m:oMathPara>
        <m:oMathParaPr>
          <m:jc m:val="centerGroup"/>
        </m:oMathParaPr>
        <m:oMath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lang w:val="en-US"/>
            </w:rPr>
            <m:rPr>
              <m:sty m:val="i"/>
            </m:rPr>
            <m:t>Size =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4"/>
                  <w:highlight w:val="none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lang w:val="en-US"/>
                </w:rPr>
                <m:rPr>
                  <m:sty m:val="i"/>
                </m:rPr>
                <m:t>2*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sz w:val="24"/>
                      <w:highlight w:val="none"/>
                      <w:lang w:val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>
                      <m:sty m:val="i"/>
                    </m:rPr>
                    <m:t>4*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  <w:sz w:val="24"/>
                          <w:highlight w:val="none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eastAsia="Cambria Math" w:cs="Cambria Math"/>
                              <w:sz w:val="24"/>
                              <w:highlight w:val="none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H</m:t>
                          </m:r>
                        </m:e>
                        <m:sup>
                          <m:r>
                            <w:rPr>
                              <w:rFonts w:hint="default" w:ascii="Cambria Math" w:hAnsi="Cambria Math" w:eastAsia="Cambria Math" w:cs="Cambria Math"/>
                              <w:sz w:val="24"/>
                              <w:szCs w:val="24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sup>
                      </m:sSup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highlight w:val="none"/>
                          <w:lang w:val="en-US"/>
                        </w:rPr>
                        <m:rPr/>
                        <m:t>+H</m:t>
                      </m:r>
                    </m:e>
                  </m:d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/>
                    <m:t>+E*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  <w:sz w:val="24"/>
                          <w:highlight w:val="none"/>
                          <w:lang w:val="en-US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sz w:val="24"/>
                          <w:szCs w:val="24"/>
                          <w:highlight w:val="none"/>
                          <w:lang w:val="en-US"/>
                        </w:rPr>
                        <m:rPr/>
                        <m:t>2*H*F + 4*H</m:t>
                      </m:r>
                    </m:e>
                  </m:d>
                </m:e>
              </m:d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  <w:lang w:val="en-US"/>
                </w:rPr>
                <m:rPr/>
                <m:t>*N + V*H + H*M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sz w:val="24"/>
                      <w:highlight w:val="none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>
                      <m:sty m:val="i"/>
                    </m:rPr>
                    <m:t>2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4"/>
                      <w:szCs w:val="24"/>
                      <w:highlight w:val="none"/>
                      <w:lang w:val="en-US"/>
                    </w:rPr>
                    <m:rPr/>
                    <m:t>30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  <w:lang w:val="en-US"/>
            </w:rPr>
            <m:rPr/>
            <m:t>≈0.063*N*E + 0.13*N + 0.26</m:t>
          </m:r>
        </m:oMath>
      </m:oMathPara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885"/>
        <w:pBdr/>
        <w:spacing/>
        <w:ind w:firstLine="708"/>
        <w:jc w:val="both"/>
        <w:rPr>
          <w:rFonts w:ascii="Times New Roman" w:hAnsi="Times New Roman" w:eastAsia="Times New Roman" w:cs="Times New Roman"/>
          <w:highlight w:val="none"/>
          <w:lang w:val="en-US"/>
        </w:rPr>
      </w:pPr>
      <w:r/>
      <w:bookmarkStart w:id="24" w:name="_Toc24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Приложение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  <w:lang w:val="en-US"/>
        </w:rPr>
        <w:t xml:space="preserve">B</w:t>
      </w:r>
      <w:r/>
      <w:bookmarkEnd w:id="24"/>
      <w:r/>
      <w:r>
        <w:rPr>
          <w:rFonts w:ascii="Times New Roman" w:hAnsi="Times New Roman" w:eastAsia="Times New Roman" w:cs="Times New Roman"/>
          <w:highlight w:val="none"/>
          <w:lang w:val="en-US"/>
        </w:rPr>
      </w:r>
    </w:p>
    <w:p>
      <w:pPr>
        <w:pBdr/>
        <w:spacing/>
        <w:ind w:firstLine="708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1. Параллелизм по данным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tbl>
      <w:tblPr>
        <w:tblStyle w:val="75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2.12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4.045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1.595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15.049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3.98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5.921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2.975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8.066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7.796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35.308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1.813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2. Тензорный параллелизм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tbl>
      <w:tblPr>
        <w:tblStyle w:val="75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2.12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2.469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12.757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5.017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3.98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3.407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22.805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2.806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4.345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32.713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1.956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7.70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5.283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42.612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1.502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9.56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6.221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52.456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1.220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11.42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7.159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62.790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1.019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13.28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8.097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72.455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0.883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3.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ZeRO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</w:p>
    <w:tbl>
      <w:tblPr>
        <w:tblStyle w:val="759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275"/>
        <w:gridCol w:w="1846"/>
        <w:gridCol w:w="1312"/>
        <w:gridCol w:w="1753"/>
        <w:gridCol w:w="1506"/>
        <w:gridCol w:w="1662"/>
      </w:tblGrid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Пространство для выгрузки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5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NVMe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5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186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71.044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0.338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NVMe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9.56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5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187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126.881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0.189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NVMe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13.28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5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2.189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176.881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0.136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CPU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7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6.999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7.900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6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3.038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CPU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9.56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7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8.688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13.391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6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1.792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CPU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7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8.689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17.440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6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1.376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CPU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17.01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7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20.690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6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1.160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27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CPU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4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20.72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7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23.828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6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1.007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4. Тензорный параллелизм с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ZeRO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tbl>
      <w:tblPr>
        <w:tblStyle w:val="75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4.0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5.657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4.243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9.56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4.846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8.480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2.830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13.28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4.847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11.169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2.149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17.01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4.848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13.579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1.767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20.72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4.755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16.559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1.449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5. Параллелизм по данным с 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  <w:t xml:space="preserve">ZeRO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en-US"/>
        </w:rPr>
      </w:r>
    </w:p>
    <w:tbl>
      <w:tblPr>
        <w:tblStyle w:val="75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6.999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7.900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3.038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9.56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8.688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13.391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1.792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13.28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8.689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17.440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1.376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17.01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659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20.690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1.160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20.72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8.660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23.828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1.007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6. Экспертный параллелизм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tbl>
      <w:tblPr>
        <w:tblStyle w:val="759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429"/>
        <w:gridCol w:w="1371"/>
        <w:gridCol w:w="1310"/>
        <w:gridCol w:w="2016"/>
        <w:gridCol w:w="1545"/>
        <w:gridCol w:w="1684"/>
      </w:tblGrid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экспертов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4.358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1.934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12.408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4.983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1.935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12.403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11.64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6.234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1.934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12.408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21.72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8.735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1.937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12.391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6.546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3.049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6.563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12.94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7.797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3.681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6.519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p>
      <w:pPr>
        <w:pBdr/>
        <w:spacing/>
        <w:ind w:firstLine="0" w:left="0"/>
        <w:jc w:val="right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  <w:t xml:space="preserve">Таблица 7. Экспертный и тензорный параллелизм</w:t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tbl>
      <w:tblPr>
        <w:tblStyle w:val="759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1429"/>
        <w:gridCol w:w="1371"/>
        <w:gridCol w:w="1310"/>
        <w:gridCol w:w="2016"/>
        <w:gridCol w:w="1545"/>
        <w:gridCol w:w="1684"/>
      </w:tblGrid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Размер модели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слоев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Число экспертов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Количество потребляемой памяти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GPU (GB)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Задержки (сек)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Пропускная способность (токен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сек)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2.938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1.899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12.641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3.563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1.892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12.684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11.64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4.814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1.882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12.752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21.72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7.315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1.959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12.252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3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4.345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3.450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6.957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12.94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5.595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3.412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7.033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42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22.02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37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31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201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8.097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54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3.415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  <w:tc>
          <w:tcPr>
            <w:tcBorders/>
            <w:tcW w:w="16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7.027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</w:r>
          </w:p>
        </w:tc>
      </w:tr>
    </w:tbl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0"/>
          <w:szCs w:val="20"/>
          <w:highlight w:val="none"/>
          <w:lang w:val="ru-RU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2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212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6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74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46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8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290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362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34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064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11827"/>
        <w:spacing w:val="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1"/>
    <w:basedOn w:val="943"/>
    <w:next w:val="943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6">
    <w:name w:val="Heading 2"/>
    <w:basedOn w:val="943"/>
    <w:next w:val="943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7">
    <w:name w:val="Heading 3"/>
    <w:basedOn w:val="943"/>
    <w:next w:val="943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3"/>
    <w:next w:val="943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3"/>
    <w:next w:val="943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3"/>
    <w:next w:val="943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3"/>
    <w:next w:val="943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3"/>
    <w:next w:val="943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3"/>
    <w:next w:val="943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character" w:styleId="895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3"/>
    <w:next w:val="943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3"/>
    <w:next w:val="943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894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3"/>
    <w:next w:val="943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4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3"/>
    <w:next w:val="943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89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3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4"/>
    <w:link w:val="919"/>
    <w:uiPriority w:val="99"/>
    <w:pPr>
      <w:pBdr/>
      <w:spacing/>
      <w:ind/>
    </w:pPr>
  </w:style>
  <w:style w:type="paragraph" w:styleId="921">
    <w:name w:val="Footer"/>
    <w:basedOn w:val="943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4"/>
    <w:link w:val="921"/>
    <w:uiPriority w:val="99"/>
    <w:pPr>
      <w:pBdr/>
      <w:spacing/>
      <w:ind/>
    </w:pPr>
  </w:style>
  <w:style w:type="paragraph" w:styleId="923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3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3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33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4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5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6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7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8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9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40">
    <w:name w:val="toc 9"/>
    <w:basedOn w:val="943"/>
    <w:next w:val="943"/>
    <w:uiPriority w:val="39"/>
    <w:unhideWhenUsed/>
    <w:pPr>
      <w:pBdr/>
      <w:spacing w:after="100"/>
      <w:ind w:left="1760"/>
    </w:pPr>
  </w:style>
  <w:style w:type="paragraph" w:styleId="941">
    <w:name w:val="TOC Heading"/>
    <w:uiPriority w:val="39"/>
    <w:unhideWhenUsed/>
    <w:pPr>
      <w:pBdr/>
      <w:spacing/>
      <w:ind/>
    </w:pPr>
  </w:style>
  <w:style w:type="paragraph" w:styleId="942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paragraph" w:styleId="943" w:default="1">
    <w:name w:val="Normal"/>
    <w:qFormat/>
    <w:pPr>
      <w:pBdr/>
      <w:spacing/>
      <w:ind/>
    </w:pPr>
  </w:style>
  <w:style w:type="table" w:styleId="94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5" w:default="1">
    <w:name w:val="No List"/>
    <w:uiPriority w:val="99"/>
    <w:semiHidden/>
    <w:unhideWhenUsed/>
    <w:pPr>
      <w:pBdr/>
      <w:spacing/>
      <w:ind/>
    </w:pPr>
  </w:style>
  <w:style w:type="paragraph" w:styleId="946">
    <w:name w:val="No Spacing"/>
    <w:basedOn w:val="943"/>
    <w:uiPriority w:val="1"/>
    <w:qFormat/>
    <w:pPr>
      <w:pBdr/>
      <w:spacing w:after="0" w:line="240" w:lineRule="auto"/>
      <w:ind/>
    </w:pPr>
  </w:style>
  <w:style w:type="paragraph" w:styleId="947">
    <w:name w:val="List Paragraph"/>
    <w:basedOn w:val="943"/>
    <w:uiPriority w:val="34"/>
    <w:qFormat/>
    <w:pPr>
      <w:pBdr/>
      <w:spacing/>
      <w:ind w:left="720"/>
      <w:contextualSpacing w:val="true"/>
    </w:pPr>
  </w:style>
  <w:style w:type="table" w:styleId="948" w:customStyle="1">
    <w:name w:val="StGen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6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zh-CN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0" w:type="dxa"/>
        <w:top w:w="100" w:type="dxa"/>
        <w:right w:w="100" w:type="dxa"/>
        <w:bottom w:w="10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hyperlink" Target="https://www.mindspore.cn/docs/en/r2.3.1/design/distributed_training_design.html" TargetMode="External"/><Relationship Id="rId32" Type="http://schemas.openxmlformats.org/officeDocument/2006/relationships/hyperlink" Target="http://getsomemath.ru/subtopic/deep_learning/mlp/intro_to_mlp" TargetMode="External"/><Relationship Id="rId33" Type="http://schemas.openxmlformats.org/officeDocument/2006/relationships/hyperlink" Target="https://docs.nvidia.com/deeplearning/performance/dl-performance-gpu-background/index.html" TargetMode="External"/><Relationship Id="rId34" Type="http://schemas.openxmlformats.org/officeDocument/2006/relationships/hyperlink" Target="https://developer.nvidia.com/blog/mastering-llm-techniques-inference-optimizatio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"/>
    <w:basedOn w:val="144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Table Grid Light"/>
    <w:basedOn w:val="144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1"/>
    <w:basedOn w:val="144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2"/>
    <w:basedOn w:val="144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Plain Table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1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2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3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4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5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4 - Accent 6"/>
    <w:basedOn w:val="14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1 Light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2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3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4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5 Dark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6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7 Colorful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1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2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3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4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5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&amp; Lined - Accent 6"/>
    <w:basedOn w:val="14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1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2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3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4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5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Bordered - Accent 6"/>
    <w:basedOn w:val="14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6" w:default="1">
    <w:name w:val="Normal"/>
    <w:qFormat/>
    <w:pPr>
      <w:pBdr/>
      <w:spacing/>
      <w:ind/>
    </w:pPr>
  </w:style>
  <w:style w:type="paragraph" w:styleId="1577">
    <w:name w:val="Heading 1"/>
    <w:basedOn w:val="1576"/>
    <w:next w:val="1576"/>
    <w:link w:val="15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8">
    <w:name w:val="Heading 2"/>
    <w:basedOn w:val="1576"/>
    <w:next w:val="1576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9">
    <w:name w:val="Heading 3"/>
    <w:basedOn w:val="1576"/>
    <w:next w:val="1576"/>
    <w:link w:val="15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80">
    <w:name w:val="Heading 4"/>
    <w:basedOn w:val="1576"/>
    <w:next w:val="1576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1">
    <w:name w:val="Heading 5"/>
    <w:basedOn w:val="1576"/>
    <w:next w:val="1576"/>
    <w:link w:val="15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2">
    <w:name w:val="Heading 6"/>
    <w:basedOn w:val="1576"/>
    <w:next w:val="1576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3">
    <w:name w:val="Heading 7"/>
    <w:basedOn w:val="1576"/>
    <w:next w:val="1576"/>
    <w:link w:val="15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4">
    <w:name w:val="Heading 8"/>
    <w:basedOn w:val="1576"/>
    <w:next w:val="1576"/>
    <w:link w:val="15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Heading 9"/>
    <w:basedOn w:val="1576"/>
    <w:next w:val="1576"/>
    <w:link w:val="15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6" w:default="1">
    <w:name w:val="Default Paragraph Font"/>
    <w:uiPriority w:val="1"/>
    <w:semiHidden/>
    <w:unhideWhenUsed/>
    <w:pPr>
      <w:pBdr/>
      <w:spacing/>
      <w:ind/>
    </w:pPr>
  </w:style>
  <w:style w:type="numbering" w:styleId="1587" w:default="1">
    <w:name w:val="No List"/>
    <w:uiPriority w:val="99"/>
    <w:semiHidden/>
    <w:unhideWhenUsed/>
    <w:pPr>
      <w:pBdr/>
      <w:spacing/>
      <w:ind/>
    </w:pPr>
  </w:style>
  <w:style w:type="character" w:styleId="1588">
    <w:name w:val="Heading 1 Char"/>
    <w:basedOn w:val="1586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9">
    <w:name w:val="Heading 2 Char"/>
    <w:basedOn w:val="1586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90">
    <w:name w:val="Heading 3 Char"/>
    <w:basedOn w:val="1586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1">
    <w:name w:val="Heading 4 Char"/>
    <w:basedOn w:val="1586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2">
    <w:name w:val="Heading 5 Char"/>
    <w:basedOn w:val="1586"/>
    <w:link w:val="15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3">
    <w:name w:val="Heading 6 Char"/>
    <w:basedOn w:val="1586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4">
    <w:name w:val="Heading 7 Char"/>
    <w:basedOn w:val="1586"/>
    <w:link w:val="15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5">
    <w:name w:val="Heading 8 Char"/>
    <w:basedOn w:val="1586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6">
    <w:name w:val="Heading 9 Char"/>
    <w:basedOn w:val="1586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7">
    <w:name w:val="Title"/>
    <w:basedOn w:val="1576"/>
    <w:next w:val="1576"/>
    <w:link w:val="15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8">
    <w:name w:val="Title Char"/>
    <w:basedOn w:val="1586"/>
    <w:link w:val="15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9">
    <w:name w:val="Subtitle"/>
    <w:basedOn w:val="1576"/>
    <w:next w:val="1576"/>
    <w:link w:val="16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0">
    <w:name w:val="Subtitle Char"/>
    <w:basedOn w:val="1586"/>
    <w:link w:val="15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1">
    <w:name w:val="Quote"/>
    <w:basedOn w:val="1576"/>
    <w:next w:val="1576"/>
    <w:link w:val="16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2">
    <w:name w:val="Quote Char"/>
    <w:basedOn w:val="1586"/>
    <w:link w:val="16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3">
    <w:name w:val="List Paragraph"/>
    <w:basedOn w:val="1576"/>
    <w:uiPriority w:val="34"/>
    <w:qFormat/>
    <w:pPr>
      <w:pBdr/>
      <w:spacing/>
      <w:ind w:left="720"/>
      <w:contextualSpacing w:val="true"/>
    </w:pPr>
  </w:style>
  <w:style w:type="character" w:styleId="1604">
    <w:name w:val="Intense Emphasis"/>
    <w:basedOn w:val="15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5">
    <w:name w:val="Intense Quote"/>
    <w:basedOn w:val="1576"/>
    <w:next w:val="1576"/>
    <w:link w:val="16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6">
    <w:name w:val="Intense Quote Char"/>
    <w:basedOn w:val="1586"/>
    <w:link w:val="16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7">
    <w:name w:val="Intense Reference"/>
    <w:basedOn w:val="15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8">
    <w:name w:val="No Spacing"/>
    <w:basedOn w:val="1576"/>
    <w:uiPriority w:val="1"/>
    <w:qFormat/>
    <w:pPr>
      <w:pBdr/>
      <w:spacing w:after="0" w:line="240" w:lineRule="auto"/>
      <w:ind/>
    </w:pPr>
  </w:style>
  <w:style w:type="character" w:styleId="1609">
    <w:name w:val="Subtle Emphasis"/>
    <w:basedOn w:val="15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10">
    <w:name w:val="Emphasis"/>
    <w:basedOn w:val="1586"/>
    <w:uiPriority w:val="20"/>
    <w:qFormat/>
    <w:pPr>
      <w:pBdr/>
      <w:spacing/>
      <w:ind/>
    </w:pPr>
    <w:rPr>
      <w:i/>
      <w:iCs/>
    </w:rPr>
  </w:style>
  <w:style w:type="character" w:styleId="1611">
    <w:name w:val="Strong"/>
    <w:basedOn w:val="1586"/>
    <w:uiPriority w:val="22"/>
    <w:qFormat/>
    <w:pPr>
      <w:pBdr/>
      <w:spacing/>
      <w:ind/>
    </w:pPr>
    <w:rPr>
      <w:b/>
      <w:bCs/>
    </w:rPr>
  </w:style>
  <w:style w:type="character" w:styleId="1612">
    <w:name w:val="Subtle Reference"/>
    <w:basedOn w:val="15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3">
    <w:name w:val="Book Title"/>
    <w:basedOn w:val="15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4">
    <w:name w:val="Header"/>
    <w:basedOn w:val="1576"/>
    <w:link w:val="16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5">
    <w:name w:val="Header Char"/>
    <w:basedOn w:val="1586"/>
    <w:link w:val="1614"/>
    <w:uiPriority w:val="99"/>
    <w:pPr>
      <w:pBdr/>
      <w:spacing/>
      <w:ind/>
    </w:pPr>
  </w:style>
  <w:style w:type="paragraph" w:styleId="1616">
    <w:name w:val="Footer"/>
    <w:basedOn w:val="1576"/>
    <w:link w:val="16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7">
    <w:name w:val="Footer Char"/>
    <w:basedOn w:val="1586"/>
    <w:link w:val="1616"/>
    <w:uiPriority w:val="99"/>
    <w:pPr>
      <w:pBdr/>
      <w:spacing/>
      <w:ind/>
    </w:pPr>
  </w:style>
  <w:style w:type="paragraph" w:styleId="1618">
    <w:name w:val="Caption"/>
    <w:basedOn w:val="1576"/>
    <w:next w:val="15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9">
    <w:name w:val="footnote text"/>
    <w:basedOn w:val="1576"/>
    <w:link w:val="16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0">
    <w:name w:val="Footnote Text Char"/>
    <w:basedOn w:val="1586"/>
    <w:link w:val="1619"/>
    <w:uiPriority w:val="99"/>
    <w:semiHidden/>
    <w:pPr>
      <w:pBdr/>
      <w:spacing/>
      <w:ind/>
    </w:pPr>
    <w:rPr>
      <w:sz w:val="20"/>
      <w:szCs w:val="20"/>
    </w:rPr>
  </w:style>
  <w:style w:type="character" w:styleId="1621">
    <w:name w:val="foot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paragraph" w:styleId="1622">
    <w:name w:val="endnote text"/>
    <w:basedOn w:val="1576"/>
    <w:link w:val="16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3">
    <w:name w:val="Endnote Text Char"/>
    <w:basedOn w:val="1586"/>
    <w:link w:val="1622"/>
    <w:uiPriority w:val="99"/>
    <w:semiHidden/>
    <w:pPr>
      <w:pBdr/>
      <w:spacing/>
      <w:ind/>
    </w:pPr>
    <w:rPr>
      <w:sz w:val="20"/>
      <w:szCs w:val="20"/>
    </w:rPr>
  </w:style>
  <w:style w:type="character" w:styleId="1624">
    <w:name w:val="endnote reference"/>
    <w:basedOn w:val="1586"/>
    <w:uiPriority w:val="99"/>
    <w:semiHidden/>
    <w:unhideWhenUsed/>
    <w:pPr>
      <w:pBdr/>
      <w:spacing/>
      <w:ind/>
    </w:pPr>
    <w:rPr>
      <w:vertAlign w:val="superscript"/>
    </w:rPr>
  </w:style>
  <w:style w:type="character" w:styleId="1625">
    <w:name w:val="Hyperlink"/>
    <w:basedOn w:val="15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6">
    <w:name w:val="FollowedHyperlink"/>
    <w:basedOn w:val="15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7">
    <w:name w:val="toc 1"/>
    <w:basedOn w:val="1576"/>
    <w:next w:val="1576"/>
    <w:uiPriority w:val="39"/>
    <w:unhideWhenUsed/>
    <w:pPr>
      <w:pBdr/>
      <w:spacing w:after="100"/>
      <w:ind/>
    </w:pPr>
  </w:style>
  <w:style w:type="paragraph" w:styleId="1628">
    <w:name w:val="toc 2"/>
    <w:basedOn w:val="1576"/>
    <w:next w:val="1576"/>
    <w:uiPriority w:val="39"/>
    <w:unhideWhenUsed/>
    <w:pPr>
      <w:pBdr/>
      <w:spacing w:after="100"/>
      <w:ind w:left="220"/>
    </w:pPr>
  </w:style>
  <w:style w:type="paragraph" w:styleId="1629">
    <w:name w:val="toc 3"/>
    <w:basedOn w:val="1576"/>
    <w:next w:val="1576"/>
    <w:uiPriority w:val="39"/>
    <w:unhideWhenUsed/>
    <w:pPr>
      <w:pBdr/>
      <w:spacing w:after="100"/>
      <w:ind w:left="440"/>
    </w:pPr>
  </w:style>
  <w:style w:type="paragraph" w:styleId="1630">
    <w:name w:val="toc 4"/>
    <w:basedOn w:val="1576"/>
    <w:next w:val="1576"/>
    <w:uiPriority w:val="39"/>
    <w:unhideWhenUsed/>
    <w:pPr>
      <w:pBdr/>
      <w:spacing w:after="100"/>
      <w:ind w:left="660"/>
    </w:pPr>
  </w:style>
  <w:style w:type="paragraph" w:styleId="1631">
    <w:name w:val="toc 5"/>
    <w:basedOn w:val="1576"/>
    <w:next w:val="1576"/>
    <w:uiPriority w:val="39"/>
    <w:unhideWhenUsed/>
    <w:pPr>
      <w:pBdr/>
      <w:spacing w:after="100"/>
      <w:ind w:left="880"/>
    </w:pPr>
  </w:style>
  <w:style w:type="paragraph" w:styleId="1632">
    <w:name w:val="toc 6"/>
    <w:basedOn w:val="1576"/>
    <w:next w:val="1576"/>
    <w:uiPriority w:val="39"/>
    <w:unhideWhenUsed/>
    <w:pPr>
      <w:pBdr/>
      <w:spacing w:after="100"/>
      <w:ind w:left="1100"/>
    </w:pPr>
  </w:style>
  <w:style w:type="paragraph" w:styleId="1633">
    <w:name w:val="toc 7"/>
    <w:basedOn w:val="1576"/>
    <w:next w:val="1576"/>
    <w:uiPriority w:val="39"/>
    <w:unhideWhenUsed/>
    <w:pPr>
      <w:pBdr/>
      <w:spacing w:after="100"/>
      <w:ind w:left="1320"/>
    </w:pPr>
  </w:style>
  <w:style w:type="paragraph" w:styleId="1634">
    <w:name w:val="toc 8"/>
    <w:basedOn w:val="1576"/>
    <w:next w:val="1576"/>
    <w:uiPriority w:val="39"/>
    <w:unhideWhenUsed/>
    <w:pPr>
      <w:pBdr/>
      <w:spacing w:after="100"/>
      <w:ind w:left="1540"/>
    </w:pPr>
  </w:style>
  <w:style w:type="paragraph" w:styleId="1635">
    <w:name w:val="toc 9"/>
    <w:basedOn w:val="1576"/>
    <w:next w:val="1576"/>
    <w:uiPriority w:val="39"/>
    <w:unhideWhenUsed/>
    <w:pPr>
      <w:pBdr/>
      <w:spacing w:after="100"/>
      <w:ind w:left="1760"/>
    </w:pPr>
  </w:style>
  <w:style w:type="paragraph" w:styleId="1636">
    <w:name w:val="TOC Heading"/>
    <w:uiPriority w:val="39"/>
    <w:unhideWhenUsed/>
    <w:pPr>
      <w:pBdr/>
      <w:spacing/>
      <w:ind/>
    </w:pPr>
  </w:style>
  <w:style w:type="paragraph" w:styleId="1637">
    <w:name w:val="table of figures"/>
    <w:basedOn w:val="1576"/>
    <w:next w:val="157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2025-06-03T00:58:32Z</dcterms:modified>
</cp:coreProperties>
</file>