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40" w:lineRule="auto"/>
        <w:rPr>
          <w:b w:val="1"/>
          <w:sz w:val="34"/>
          <w:szCs w:val="34"/>
        </w:rPr>
      </w:pPr>
      <w:r w:rsidDel="00000000" w:rsidR="00000000" w:rsidRPr="00000000">
        <w:rPr>
          <w:rFonts w:ascii="Arial Unicode MS" w:cs="Arial Unicode MS" w:eastAsia="Arial Unicode MS" w:hAnsi="Arial Unicode MS"/>
          <w:b w:val="1"/>
          <w:sz w:val="34"/>
          <w:szCs w:val="34"/>
          <w:rtl w:val="0"/>
        </w:rPr>
        <w:t xml:space="preserve">使用 Seq2Seq LSTM 與 Seq2Seq VAE 生成「未來學習行為序列」數據</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240" w:before="240" w:lineRule="auto"/>
        <w:ind w:left="0" w:firstLine="0"/>
        <w:rPr>
          <w:sz w:val="21"/>
          <w:szCs w:val="21"/>
          <w:highlight w:val="white"/>
        </w:rPr>
      </w:pPr>
      <w:bookmarkStart w:colFirst="0" w:colLast="0" w:name="_3xj9ory1b44d" w:id="0"/>
      <w:bookmarkEnd w:id="0"/>
      <w:r w:rsidDel="00000000" w:rsidR="00000000" w:rsidRPr="00000000">
        <w:rPr>
          <w:rFonts w:ascii="Arial Unicode MS" w:cs="Arial Unicode MS" w:eastAsia="Arial Unicode MS" w:hAnsi="Arial Unicode MS"/>
          <w:b w:val="1"/>
          <w:color w:val="434343"/>
          <w:sz w:val="21"/>
          <w:szCs w:val="21"/>
          <w:highlight w:val="white"/>
          <w:rtl w:val="0"/>
        </w:rPr>
        <w:t xml:space="preserve">模型比較（MSE、Best-of-N、Coverage、Diversity）</w:t>
        <w:br w:type="textWrapping"/>
      </w:r>
      <w:r w:rsidDel="00000000" w:rsidR="00000000" w:rsidRPr="00000000">
        <w:rPr>
          <w:rtl w:val="0"/>
        </w:rPr>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3.8047706058746"/>
        <w:gridCol w:w="2472.678196524544"/>
        <w:gridCol w:w="3110.9412109238046"/>
        <w:gridCol w:w="2118.0876329693992"/>
        <w:tblGridChange w:id="0">
          <w:tblGrid>
            <w:gridCol w:w="1323.8047706058746"/>
            <w:gridCol w:w="2472.678196524544"/>
            <w:gridCol w:w="3110.9412109238046"/>
            <w:gridCol w:w="2118.0876329693992"/>
          </w:tblGrid>
        </w:tblGridChange>
      </w:tblGrid>
      <w:tr>
        <w:trPr>
          <w:cantSplit w:val="0"/>
          <w:trHeight w:val="489.477539062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04">
            <w:pPr>
              <w:keepNext w:val="0"/>
              <w:keepLines w:val="0"/>
              <w:spacing w:after="240" w:before="240" w:line="276" w:lineRule="auto"/>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指標</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05">
            <w:pPr>
              <w:keepNext w:val="0"/>
              <w:keepLines w:val="0"/>
              <w:spacing w:after="240" w:before="240" w:line="276" w:lineRule="auto"/>
              <w:jc w:val="center"/>
              <w:rPr>
                <w:sz w:val="21"/>
                <w:szCs w:val="21"/>
                <w:highlight w:val="white"/>
              </w:rPr>
            </w:pPr>
            <w:r w:rsidDel="00000000" w:rsidR="00000000" w:rsidRPr="00000000">
              <w:rPr>
                <w:sz w:val="21"/>
                <w:szCs w:val="21"/>
                <w:highlight w:val="white"/>
                <w:rtl w:val="0"/>
              </w:rPr>
              <w:t xml:space="preserve">Seq2Seq LSTM</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spacing w:after="240" w:before="240" w:line="276" w:lineRule="auto"/>
              <w:jc w:val="center"/>
              <w:rPr>
                <w:sz w:val="21"/>
                <w:szCs w:val="21"/>
                <w:highlight w:val="white"/>
              </w:rPr>
            </w:pPr>
            <w:r w:rsidDel="00000000" w:rsidR="00000000" w:rsidRPr="00000000">
              <w:rPr>
                <w:sz w:val="21"/>
                <w:szCs w:val="21"/>
                <w:highlight w:val="white"/>
                <w:rtl w:val="0"/>
              </w:rPr>
              <w:t xml:space="preserve">Seq2Seq VAE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spacing w:after="240" w:before="240" w:line="276" w:lineRule="auto"/>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指標意義</w:t>
            </w:r>
          </w:p>
        </w:tc>
      </w:tr>
      <w:tr>
        <w:trPr>
          <w:cantSplit w:val="0"/>
          <w:trHeight w:val="854.9414062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spacing w:after="240" w:before="240" w:line="240" w:lineRule="auto"/>
              <w:jc w:val="center"/>
              <w:rPr>
                <w:sz w:val="21"/>
                <w:szCs w:val="21"/>
                <w:highlight w:val="white"/>
              </w:rPr>
            </w:pPr>
            <w:r w:rsidDel="00000000" w:rsidR="00000000" w:rsidRPr="00000000">
              <w:rPr>
                <w:sz w:val="21"/>
                <w:szCs w:val="21"/>
                <w:highlight w:val="white"/>
                <w:rtl w:val="0"/>
              </w:rPr>
              <w:t xml:space="preserve">MSE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spacing w:after="240" w:before="240" w:line="240" w:lineRule="auto"/>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以單一路徑預測未來兩週 clicks，計算整體均方誤差</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spacing w:after="240" w:before="240" w:line="240" w:lineRule="auto"/>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使用多重潛在變數取樣生成 N 條未來序列，取最小 MSE（Best-of-N）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spacing w:after="240" w:before="240" w:line="240" w:lineRule="auto"/>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MSE 反映預測精確度；數值越小代表越準確</w:t>
            </w:r>
          </w:p>
        </w:tc>
      </w:tr>
      <w:tr>
        <w:trPr>
          <w:cantSplit w:val="0"/>
          <w:trHeight w:val="93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spacing w:after="240" w:before="240" w:line="240" w:lineRule="auto"/>
              <w:jc w:val="center"/>
              <w:rPr>
                <w:sz w:val="21"/>
                <w:szCs w:val="21"/>
                <w:highlight w:val="white"/>
              </w:rPr>
            </w:pPr>
            <w:r w:rsidDel="00000000" w:rsidR="00000000" w:rsidRPr="00000000">
              <w:rPr>
                <w:sz w:val="21"/>
                <w:szCs w:val="21"/>
                <w:highlight w:val="white"/>
                <w:rtl w:val="0"/>
              </w:rPr>
              <w:t xml:space="preserve">Best-of-N MSE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spacing w:after="240" w:before="240" w:line="240" w:lineRule="auto"/>
              <w:jc w:val="center"/>
              <w:rPr>
                <w:sz w:val="21"/>
                <w:szCs w:val="21"/>
                <w:highlight w:val="white"/>
              </w:rPr>
            </w:pPr>
            <w:r w:rsidDel="00000000" w:rsidR="00000000" w:rsidRPr="00000000">
              <w:rPr>
                <w:sz w:val="21"/>
                <w:szCs w:val="21"/>
                <w:highlight w:val="white"/>
                <w:rtl w:val="0"/>
              </w:rPr>
              <w:t xml:space="preserv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spacing w:after="240" w:before="240" w:line="240" w:lineRule="auto"/>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透過 20 次隨機採樣取最優樣本，代表生成潛力的上限</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spacing w:after="240" w:before="240" w:line="240" w:lineRule="auto"/>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衡量模型在多樣生成中的最佳表現</w:t>
            </w:r>
          </w:p>
        </w:tc>
      </w:tr>
      <w:tr>
        <w:trPr>
          <w:cantSplit w:val="0"/>
          <w:trHeight w:val="93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spacing w:after="240" w:before="240" w:line="240" w:lineRule="auto"/>
              <w:jc w:val="center"/>
              <w:rPr>
                <w:sz w:val="21"/>
                <w:szCs w:val="21"/>
                <w:highlight w:val="white"/>
              </w:rPr>
            </w:pPr>
            <w:r w:rsidDel="00000000" w:rsidR="00000000" w:rsidRPr="00000000">
              <w:rPr>
                <w:sz w:val="21"/>
                <w:szCs w:val="21"/>
                <w:highlight w:val="white"/>
                <w:rtl w:val="0"/>
              </w:rPr>
              <w:t xml:space="preserve">Diversity</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720" w:firstLine="0"/>
              <w:rPr>
                <w:sz w:val="21"/>
                <w:szCs w:val="21"/>
                <w:highlight w:val="white"/>
              </w:rPr>
            </w:pPr>
            <w:r w:rsidDel="00000000" w:rsidR="00000000" w:rsidRPr="00000000">
              <w:rPr>
                <w:sz w:val="21"/>
                <w:szCs w:val="21"/>
                <w:highlight w:val="white"/>
                <w:rtl w:val="0"/>
              </w:rPr>
              <w:t xml:space="preserv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spacing w:after="240" w:before="240" w:line="240" w:lineRule="auto"/>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平均每筆樣本的標準差（在 20 條生成樣本間）</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spacing w:after="240" w:before="240" w:line="240" w:lineRule="auto"/>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反映模型生成的多樣化程度</w:t>
            </w:r>
          </w:p>
        </w:tc>
      </w:tr>
      <w:tr>
        <w:trPr>
          <w:cantSplit w:val="0"/>
          <w:trHeight w:val="128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spacing w:after="240" w:before="240" w:line="240" w:lineRule="auto"/>
              <w:jc w:val="center"/>
              <w:rPr>
                <w:sz w:val="21"/>
                <w:szCs w:val="21"/>
                <w:highlight w:val="white"/>
              </w:rPr>
            </w:pPr>
            <w:r w:rsidDel="00000000" w:rsidR="00000000" w:rsidRPr="00000000">
              <w:rPr>
                <w:sz w:val="21"/>
                <w:szCs w:val="21"/>
                <w:highlight w:val="white"/>
                <w:rtl w:val="0"/>
              </w:rPr>
              <w:t xml:space="preserve">Coverage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720" w:firstLine="0"/>
              <w:rPr>
                <w:sz w:val="21"/>
                <w:szCs w:val="21"/>
                <w:highlight w:val="white"/>
              </w:rPr>
            </w:pPr>
            <w:r w:rsidDel="00000000" w:rsidR="00000000" w:rsidRPr="00000000">
              <w:rPr>
                <w:sz w:val="21"/>
                <w:szCs w:val="21"/>
                <w:highlight w:val="white"/>
                <w:rtl w:val="0"/>
              </w:rPr>
              <w:t xml:space="preserv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spacing w:after="240" w:before="240" w:line="240" w:lineRule="auto"/>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測試集中有多少比例樣本至少被某一條生成樣本覆蓋在誤差容忍範圍內</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spacing w:after="240" w:before="240" w:line="240" w:lineRule="auto"/>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衡量模型是否能「涵蓋」真實分布的多樣可能性</w:t>
            </w:r>
          </w:p>
        </w:tc>
      </w:tr>
    </w:tbl>
    <w:p w:rsidR="00000000" w:rsidDel="00000000" w:rsidP="00000000" w:rsidRDefault="00000000" w:rsidRPr="00000000" w14:paraId="00000018">
      <w:pPr>
        <w:pStyle w:val="Heading2"/>
        <w:keepNext w:val="0"/>
        <w:keepLines w:val="0"/>
        <w:spacing w:after="240" w:before="240" w:lineRule="auto"/>
        <w:rPr>
          <w:sz w:val="21"/>
          <w:szCs w:val="21"/>
          <w:highlight w:val="white"/>
        </w:rPr>
      </w:pPr>
      <w:bookmarkStart w:colFirst="0" w:colLast="0" w:name="_blcgp8m4j7bd" w:id="1"/>
      <w:bookmarkEnd w:id="1"/>
      <w:r w:rsidDel="00000000" w:rsidR="00000000" w:rsidRPr="00000000">
        <w:rPr>
          <w:sz w:val="21"/>
          <w:szCs w:val="21"/>
          <w:highlight w:val="white"/>
        </w:rPr>
        <w:drawing>
          <wp:inline distB="114300" distT="114300" distL="114300" distR="114300">
            <wp:extent cx="5270897" cy="13573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0897" cy="1357313"/>
                    </a:xfrm>
                    <a:prstGeom prst="rect"/>
                    <a:ln/>
                  </pic:spPr>
                </pic:pic>
              </a:graphicData>
            </a:graphic>
          </wp:inline>
        </w:drawing>
      </w:r>
      <w:r w:rsidDel="00000000" w:rsidR="00000000" w:rsidRPr="00000000">
        <w:rPr>
          <w:sz w:val="21"/>
          <w:szCs w:val="21"/>
          <w:highlight w:val="white"/>
        </w:rPr>
        <w:drawing>
          <wp:inline distB="114300" distT="114300" distL="114300" distR="114300">
            <wp:extent cx="3913783" cy="2808562"/>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13783" cy="2808562"/>
                    </a:xfrm>
                    <a:prstGeom prst="rect"/>
                    <a:ln/>
                  </pic:spPr>
                </pic:pic>
              </a:graphicData>
            </a:graphic>
          </wp:inline>
        </w:drawing>
      </w:r>
      <w:r w:rsidDel="00000000" w:rsidR="00000000" w:rsidRPr="00000000">
        <w:rPr>
          <w:rtl w:val="0"/>
        </w:rPr>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160"/>
        <w:gridCol w:w="1935"/>
        <w:gridCol w:w="2820"/>
        <w:tblGridChange w:id="0">
          <w:tblGrid>
            <w:gridCol w:w="1920"/>
            <w:gridCol w:w="2160"/>
            <w:gridCol w:w="1935"/>
            <w:gridCol w:w="2820"/>
          </w:tblGrid>
        </w:tblGridChange>
      </w:tblGrid>
      <w:tr>
        <w:trPr>
          <w:cantSplit w:val="0"/>
          <w:trHeight w:val="540" w:hRule="atLeast"/>
          <w:tblHeader w:val="0"/>
        </w:trPr>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19">
            <w:pPr>
              <w:keepNext w:val="0"/>
              <w:keepLines w:val="0"/>
              <w:spacing w:after="240" w:before="240" w:lineRule="auto"/>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指標</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1A">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Seq2Seq LSTM</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1B">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Seq2Seq VAE (N=20)</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1C">
            <w:pPr>
              <w:keepNext w:val="0"/>
              <w:keepLines w:val="0"/>
              <w:spacing w:after="240" w:before="240" w:lineRule="auto"/>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說明</w:t>
            </w:r>
          </w:p>
        </w:tc>
      </w:tr>
      <w:tr>
        <w:trPr>
          <w:cantSplit w:val="0"/>
          <w:trHeight w:val="956.6999999999998" w:hRule="atLeast"/>
          <w:tblHeader w:val="0"/>
        </w:trPr>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1D">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MSE</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1E">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4727.9459</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1F">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4700.0161</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20">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VAE </w:t>
            </w:r>
            <w:r w:rsidDel="00000000" w:rsidR="00000000" w:rsidRPr="00000000">
              <w:rPr>
                <w:rFonts w:ascii="Arial Unicode MS" w:cs="Arial Unicode MS" w:eastAsia="Arial Unicode MS" w:hAnsi="Arial Unicode MS"/>
                <w:sz w:val="21"/>
                <w:szCs w:val="21"/>
                <w:highlight w:val="white"/>
                <w:rtl w:val="0"/>
              </w:rPr>
              <w:t xml:space="preserve">的誤差略低，顯示其具潛在生成優勢</w:t>
            </w:r>
          </w:p>
        </w:tc>
      </w:tr>
      <w:tr>
        <w:trPr>
          <w:cantSplit w:val="0"/>
          <w:trHeight w:val="1395" w:hRule="atLeast"/>
          <w:tblHeader w:val="0"/>
        </w:trPr>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21">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Best-of-N MSE</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22">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23">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4700.0161</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24">
            <w:pPr>
              <w:keepNext w:val="0"/>
              <w:keepLines w:val="0"/>
              <w:spacing w:after="240" w:before="240" w:lineRule="auto"/>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取</w:t>
            </w:r>
            <w:r w:rsidDel="00000000" w:rsidR="00000000" w:rsidRPr="00000000">
              <w:rPr>
                <w:sz w:val="21"/>
                <w:szCs w:val="21"/>
                <w:highlight w:val="white"/>
                <w:rtl w:val="0"/>
              </w:rPr>
              <w:t xml:space="preserve"> 20 </w:t>
            </w:r>
            <w:r w:rsidDel="00000000" w:rsidR="00000000" w:rsidRPr="00000000">
              <w:rPr>
                <w:rFonts w:ascii="Arial Unicode MS" w:cs="Arial Unicode MS" w:eastAsia="Arial Unicode MS" w:hAnsi="Arial Unicode MS"/>
                <w:sz w:val="21"/>
                <w:szCs w:val="21"/>
                <w:highlight w:val="white"/>
                <w:rtl w:val="0"/>
              </w:rPr>
              <w:t xml:space="preserve">次生成樣本的最小</w:t>
            </w:r>
            <w:r w:rsidDel="00000000" w:rsidR="00000000" w:rsidRPr="00000000">
              <w:rPr>
                <w:sz w:val="21"/>
                <w:szCs w:val="21"/>
                <w:highlight w:val="white"/>
                <w:rtl w:val="0"/>
              </w:rPr>
              <w:t xml:space="preserve"> MSE</w:t>
            </w:r>
            <w:r w:rsidDel="00000000" w:rsidR="00000000" w:rsidRPr="00000000">
              <w:rPr>
                <w:rFonts w:ascii="Arial Unicode MS" w:cs="Arial Unicode MS" w:eastAsia="Arial Unicode MS" w:hAnsi="Arial Unicode MS"/>
                <w:sz w:val="21"/>
                <w:szCs w:val="21"/>
                <w:highlight w:val="white"/>
                <w:rtl w:val="0"/>
              </w:rPr>
              <w:t xml:space="preserve">，反映模型生成潛力上限</w:t>
            </w:r>
          </w:p>
        </w:tc>
      </w:tr>
      <w:tr>
        <w:trPr>
          <w:cantSplit w:val="0"/>
          <w:trHeight w:val="1050" w:hRule="atLeast"/>
          <w:tblHeader w:val="0"/>
        </w:trPr>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25">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Diversity (std)</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26">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27">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0.2362</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28">
            <w:pPr>
              <w:keepNext w:val="0"/>
              <w:keepLines w:val="0"/>
              <w:spacing w:after="240" w:before="240" w:lineRule="auto"/>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生成樣本之間的標準差，代表多樣性程度</w:t>
            </w:r>
          </w:p>
        </w:tc>
      </w:tr>
      <w:tr>
        <w:trPr>
          <w:cantSplit w:val="0"/>
          <w:trHeight w:val="1166.6999999999998" w:hRule="atLeast"/>
          <w:tblHeader w:val="0"/>
        </w:trPr>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29">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Coverage (</w:t>
            </w:r>
            <w:r w:rsidDel="00000000" w:rsidR="00000000" w:rsidRPr="00000000">
              <w:rPr>
                <w:rFonts w:ascii="Arial Unicode MS" w:cs="Arial Unicode MS" w:eastAsia="Arial Unicode MS" w:hAnsi="Arial Unicode MS"/>
                <w:sz w:val="21"/>
                <w:szCs w:val="21"/>
                <w:highlight w:val="white"/>
                <w:rtl w:val="0"/>
              </w:rPr>
              <w:t xml:space="preserve">比例</w:t>
            </w:r>
            <w:r w:rsidDel="00000000" w:rsidR="00000000" w:rsidRPr="00000000">
              <w:rPr>
                <w:sz w:val="21"/>
                <w:szCs w:val="21"/>
                <w:highlight w:val="white"/>
                <w:rtl w:val="0"/>
              </w:rPr>
              <w:t xml:space="preserve">)</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2A">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2B">
            <w:pPr>
              <w:keepNext w:val="0"/>
              <w:keepLines w:val="0"/>
              <w:spacing w:after="240" w:before="240" w:lineRule="auto"/>
              <w:rPr>
                <w:sz w:val="21"/>
                <w:szCs w:val="21"/>
                <w:highlight w:val="white"/>
              </w:rPr>
            </w:pPr>
            <w:r w:rsidDel="00000000" w:rsidR="00000000" w:rsidRPr="00000000">
              <w:rPr>
                <w:sz w:val="21"/>
                <w:szCs w:val="21"/>
                <w:highlight w:val="white"/>
                <w:rtl w:val="0"/>
              </w:rPr>
              <w:t xml:space="preserve">0.5173</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2C">
            <w:pPr>
              <w:keepNext w:val="0"/>
              <w:keepLines w:val="0"/>
              <w:spacing w:after="240" w:before="240" w:lineRule="auto"/>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代表約</w:t>
            </w:r>
            <w:r w:rsidDel="00000000" w:rsidR="00000000" w:rsidRPr="00000000">
              <w:rPr>
                <w:sz w:val="21"/>
                <w:szCs w:val="21"/>
                <w:highlight w:val="white"/>
                <w:rtl w:val="0"/>
              </w:rPr>
              <w:t xml:space="preserve"> 51.7% </w:t>
            </w:r>
            <w:r w:rsidDel="00000000" w:rsidR="00000000" w:rsidRPr="00000000">
              <w:rPr>
                <w:rFonts w:ascii="Arial Unicode MS" w:cs="Arial Unicode MS" w:eastAsia="Arial Unicode MS" w:hAnsi="Arial Unicode MS"/>
                <w:sz w:val="21"/>
                <w:szCs w:val="21"/>
                <w:highlight w:val="white"/>
                <w:rtl w:val="0"/>
              </w:rPr>
              <w:t xml:space="preserve">測試樣本被</w:t>
            </w:r>
            <w:r w:rsidDel="00000000" w:rsidR="00000000" w:rsidRPr="00000000">
              <w:rPr>
                <w:sz w:val="21"/>
                <w:szCs w:val="21"/>
                <w:highlight w:val="white"/>
                <w:rtl w:val="0"/>
              </w:rPr>
              <w:t xml:space="preserve"> VAE </w:t>
            </w:r>
            <w:r w:rsidDel="00000000" w:rsidR="00000000" w:rsidRPr="00000000">
              <w:rPr>
                <w:rFonts w:ascii="Arial Unicode MS" w:cs="Arial Unicode MS" w:eastAsia="Arial Unicode MS" w:hAnsi="Arial Unicode MS"/>
                <w:sz w:val="21"/>
                <w:szCs w:val="21"/>
                <w:highlight w:val="white"/>
                <w:rtl w:val="0"/>
              </w:rPr>
              <w:t xml:space="preserve">生成結果覆蓋在合理範圍內</w:t>
            </w:r>
          </w:p>
        </w:tc>
      </w:tr>
    </w:tbl>
    <w:p w:rsidR="00000000" w:rsidDel="00000000" w:rsidP="00000000" w:rsidRDefault="00000000" w:rsidRPr="00000000" w14:paraId="0000002D">
      <w:pPr>
        <w:pStyle w:val="Heading2"/>
        <w:keepNext w:val="0"/>
        <w:keepLines w:val="0"/>
        <w:spacing w:after="240" w:before="240" w:lineRule="auto"/>
        <w:rPr>
          <w:rFonts w:ascii="MS Mincho" w:cs="MS Mincho" w:eastAsia="MS Mincho" w:hAnsi="MS Mincho"/>
          <w:b w:val="1"/>
          <w:color w:val="434343"/>
          <w:sz w:val="21"/>
          <w:szCs w:val="21"/>
          <w:highlight w:val="white"/>
        </w:rPr>
      </w:pPr>
      <w:bookmarkStart w:colFirst="0" w:colLast="0" w:name="_1ft388id83qk" w:id="2"/>
      <w:bookmarkEnd w:id="2"/>
      <w:r w:rsidDel="00000000" w:rsidR="00000000" w:rsidRPr="00000000">
        <w:rPr>
          <w:rFonts w:ascii="MS Mincho" w:cs="MS Mincho" w:eastAsia="MS Mincho" w:hAnsi="MS Mincho"/>
          <w:b w:val="1"/>
          <w:color w:val="434343"/>
          <w:sz w:val="21"/>
          <w:szCs w:val="21"/>
          <w:highlight w:val="white"/>
          <w:rtl w:val="0"/>
        </w:rPr>
        <w:t xml:space="preserve">整體而言，</w:t>
      </w:r>
      <w:r w:rsidDel="00000000" w:rsidR="00000000" w:rsidRPr="00000000">
        <w:rPr>
          <w:b w:val="1"/>
          <w:color w:val="434343"/>
          <w:sz w:val="21"/>
          <w:szCs w:val="21"/>
          <w:highlight w:val="white"/>
          <w:rtl w:val="0"/>
        </w:rPr>
        <w:t xml:space="preserve">VAE </w:t>
      </w:r>
      <w:r w:rsidDel="00000000" w:rsidR="00000000" w:rsidRPr="00000000">
        <w:rPr>
          <w:rFonts w:ascii="MS Mincho" w:cs="MS Mincho" w:eastAsia="MS Mincho" w:hAnsi="MS Mincho"/>
          <w:b w:val="1"/>
          <w:color w:val="434343"/>
          <w:sz w:val="21"/>
          <w:szCs w:val="21"/>
          <w:highlight w:val="white"/>
          <w:rtl w:val="0"/>
        </w:rPr>
        <w:t xml:space="preserve">模型在準確度上雖僅略優於</w:t>
      </w:r>
      <w:r w:rsidDel="00000000" w:rsidR="00000000" w:rsidRPr="00000000">
        <w:rPr>
          <w:b w:val="1"/>
          <w:color w:val="434343"/>
          <w:sz w:val="21"/>
          <w:szCs w:val="21"/>
          <w:highlight w:val="white"/>
          <w:rtl w:val="0"/>
        </w:rPr>
        <w:t xml:space="preserve"> LSTM</w:t>
      </w:r>
      <w:r w:rsidDel="00000000" w:rsidR="00000000" w:rsidRPr="00000000">
        <w:rPr>
          <w:rFonts w:ascii="MS Mincho" w:cs="MS Mincho" w:eastAsia="MS Mincho" w:hAnsi="MS Mincho"/>
          <w:b w:val="1"/>
          <w:color w:val="434343"/>
          <w:sz w:val="21"/>
          <w:szCs w:val="21"/>
          <w:highlight w:val="white"/>
          <w:rtl w:val="0"/>
        </w:rPr>
        <w:t xml:space="preserve">（</w:t>
      </w:r>
      <w:r w:rsidDel="00000000" w:rsidR="00000000" w:rsidRPr="00000000">
        <w:rPr>
          <w:b w:val="1"/>
          <w:color w:val="434343"/>
          <w:sz w:val="21"/>
          <w:szCs w:val="21"/>
          <w:highlight w:val="white"/>
          <w:rtl w:val="0"/>
        </w:rPr>
        <w:t xml:space="preserve">MSE </w:t>
      </w:r>
      <w:r w:rsidDel="00000000" w:rsidR="00000000" w:rsidRPr="00000000">
        <w:rPr>
          <w:rFonts w:ascii="MS Mincho" w:cs="MS Mincho" w:eastAsia="MS Mincho" w:hAnsi="MS Mincho"/>
          <w:b w:val="1"/>
          <w:color w:val="434343"/>
          <w:sz w:val="21"/>
          <w:szCs w:val="21"/>
          <w:highlight w:val="white"/>
          <w:rtl w:val="0"/>
        </w:rPr>
        <w:t xml:space="preserve">約下降</w:t>
      </w:r>
      <w:r w:rsidDel="00000000" w:rsidR="00000000" w:rsidRPr="00000000">
        <w:rPr>
          <w:b w:val="1"/>
          <w:color w:val="434343"/>
          <w:sz w:val="21"/>
          <w:szCs w:val="21"/>
          <w:highlight w:val="white"/>
          <w:rtl w:val="0"/>
        </w:rPr>
        <w:t xml:space="preserve"> 0.6%</w:t>
      </w:r>
      <w:r w:rsidDel="00000000" w:rsidR="00000000" w:rsidRPr="00000000">
        <w:rPr>
          <w:rFonts w:ascii="MS Mincho" w:cs="MS Mincho" w:eastAsia="MS Mincho" w:hAnsi="MS Mincho"/>
          <w:b w:val="1"/>
          <w:color w:val="434343"/>
          <w:sz w:val="21"/>
          <w:szCs w:val="21"/>
          <w:highlight w:val="white"/>
          <w:rtl w:val="0"/>
        </w:rPr>
        <w:t xml:space="preserve">），但其能夠生成多樣樣本並具備較高的覆蓋率，顯示在面對學生學習行為的不確定性時，</w:t>
      </w:r>
      <w:r w:rsidDel="00000000" w:rsidR="00000000" w:rsidRPr="00000000">
        <w:rPr>
          <w:b w:val="1"/>
          <w:color w:val="434343"/>
          <w:sz w:val="21"/>
          <w:szCs w:val="21"/>
          <w:highlight w:val="white"/>
          <w:rtl w:val="0"/>
        </w:rPr>
        <w:t xml:space="preserve">VAE </w:t>
      </w:r>
      <w:r w:rsidDel="00000000" w:rsidR="00000000" w:rsidRPr="00000000">
        <w:rPr>
          <w:rFonts w:ascii="MS Mincho" w:cs="MS Mincho" w:eastAsia="MS Mincho" w:hAnsi="MS Mincho"/>
          <w:b w:val="1"/>
          <w:color w:val="434343"/>
          <w:sz w:val="21"/>
          <w:szCs w:val="21"/>
          <w:highlight w:val="white"/>
          <w:rtl w:val="0"/>
        </w:rPr>
        <w:t xml:space="preserve">具有更好的表示能力。</w:t>
      </w:r>
    </w:p>
    <w:p w:rsidR="00000000" w:rsidDel="00000000" w:rsidP="00000000" w:rsidRDefault="00000000" w:rsidRPr="00000000" w14:paraId="0000002E">
      <w:pPr>
        <w:pStyle w:val="Heading2"/>
        <w:keepNext w:val="0"/>
        <w:keepLines w:val="0"/>
        <w:spacing w:after="240" w:before="240" w:lineRule="auto"/>
        <w:rPr/>
      </w:pPr>
      <w:bookmarkStart w:colFirst="0" w:colLast="0" w:name="_jq9mik12nv02" w:id="3"/>
      <w:bookmarkEnd w:id="3"/>
      <w:r w:rsidDel="00000000" w:rsidR="00000000" w:rsidRPr="00000000">
        <w:rPr>
          <w:rtl w:val="0"/>
        </w:rPr>
        <w:br w:type="textWrapping"/>
      </w:r>
    </w:p>
    <w:p w:rsidR="00000000" w:rsidDel="00000000" w:rsidP="00000000" w:rsidRDefault="00000000" w:rsidRPr="00000000" w14:paraId="0000002F">
      <w:pPr>
        <w:pStyle w:val="Heading2"/>
        <w:spacing w:after="240" w:before="240" w:lineRule="auto"/>
        <w:rPr>
          <w:sz w:val="21"/>
          <w:szCs w:val="21"/>
          <w:highlight w:val="white"/>
        </w:rPr>
      </w:pPr>
      <w:bookmarkStart w:colFirst="0" w:colLast="0" w:name="_35zgyz4w88f" w:id="4"/>
      <w:bookmarkEnd w:id="4"/>
      <w:r w:rsidDel="00000000" w:rsidR="00000000" w:rsidRPr="00000000">
        <w:rPr>
          <w:rFonts w:ascii="Arial Unicode MS" w:cs="Arial Unicode MS" w:eastAsia="Arial Unicode MS" w:hAnsi="Arial Unicode MS"/>
          <w:b w:val="1"/>
          <w:color w:val="434343"/>
          <w:sz w:val="21"/>
          <w:szCs w:val="21"/>
          <w:highlight w:val="white"/>
          <w:rtl w:val="0"/>
        </w:rPr>
        <w:t xml:space="preserve">視覺化結果</w:t>
      </w:r>
      <w:r w:rsidDel="00000000" w:rsidR="00000000" w:rsidRPr="00000000">
        <w:rPr>
          <w:rtl w:val="0"/>
        </w:rPr>
      </w:r>
    </w:p>
    <w:p w:rsidR="00000000" w:rsidDel="00000000" w:rsidP="00000000" w:rsidRDefault="00000000" w:rsidRPr="00000000" w14:paraId="00000030">
      <w:pPr>
        <w:numPr>
          <w:ilvl w:val="0"/>
          <w:numId w:val="4"/>
        </w:numPr>
        <w:spacing w:after="0" w:afterAutospacing="0" w:before="240" w:lineRule="auto"/>
        <w:ind w:left="720" w:hanging="360"/>
        <w:rPr>
          <w:sz w:val="21"/>
          <w:szCs w:val="21"/>
          <w:highlight w:val="white"/>
        </w:rPr>
      </w:pPr>
      <w:r w:rsidDel="00000000" w:rsidR="00000000" w:rsidRPr="00000000">
        <w:rPr>
          <w:sz w:val="21"/>
          <w:szCs w:val="21"/>
          <w:highlight w:val="white"/>
          <w:rtl w:val="0"/>
        </w:rPr>
        <w:t xml:space="preserve">LSTM </w:t>
      </w:r>
      <w:r w:rsidDel="00000000" w:rsidR="00000000" w:rsidRPr="00000000">
        <w:rPr>
          <w:rFonts w:ascii="MS Mincho" w:cs="MS Mincho" w:eastAsia="MS Mincho" w:hAnsi="MS Mincho"/>
          <w:sz w:val="21"/>
          <w:szCs w:val="21"/>
          <w:highlight w:val="white"/>
          <w:rtl w:val="0"/>
        </w:rPr>
        <w:t xml:space="preserve">模型：</w:t>
      </w:r>
      <w:r w:rsidDel="00000000" w:rsidR="00000000" w:rsidRPr="00000000">
        <w:rPr>
          <w:rFonts w:ascii="Arial Unicode MS" w:cs="Arial Unicode MS" w:eastAsia="Arial Unicode MS" w:hAnsi="Arial Unicode MS"/>
          <w:sz w:val="21"/>
          <w:szCs w:val="21"/>
          <w:highlight w:val="white"/>
          <w:rtl w:val="0"/>
        </w:rPr>
        <w:t xml:space="preserve">輸出單一路徑預測</w:t>
      </w:r>
    </w:p>
    <w:p w:rsidR="00000000" w:rsidDel="00000000" w:rsidP="00000000" w:rsidRDefault="00000000" w:rsidRPr="00000000" w14:paraId="00000031">
      <w:pPr>
        <w:numPr>
          <w:ilvl w:val="1"/>
          <w:numId w:val="4"/>
        </w:numPr>
        <w:spacing w:after="240" w:before="0" w:beforeAutospacing="0" w:lineRule="auto"/>
        <w:ind w:left="1440" w:hanging="360"/>
        <w:rPr>
          <w:sz w:val="21"/>
          <w:szCs w:val="21"/>
          <w:highlight w:val="white"/>
        </w:rPr>
      </w:pPr>
      <w:r w:rsidDel="00000000" w:rsidR="00000000" w:rsidRPr="00000000">
        <w:rPr>
          <w:rFonts w:ascii="MS Mincho" w:cs="MS Mincho" w:eastAsia="MS Mincho" w:hAnsi="MS Mincho"/>
          <w:sz w:val="21"/>
          <w:szCs w:val="21"/>
          <w:highlight w:val="white"/>
          <w:rtl w:val="0"/>
        </w:rPr>
        <w:t xml:space="preserve">在</w:t>
      </w:r>
      <w:r w:rsidDel="00000000" w:rsidR="00000000" w:rsidRPr="00000000">
        <w:rPr>
          <w:sz w:val="21"/>
          <w:szCs w:val="21"/>
          <w:highlight w:val="white"/>
          <w:rtl w:val="0"/>
        </w:rPr>
        <w:t xml:space="preserve"> Sample #0</w:t>
      </w:r>
      <w:r w:rsidDel="00000000" w:rsidR="00000000" w:rsidRPr="00000000">
        <w:rPr>
          <w:rFonts w:ascii="MS Mincho" w:cs="MS Mincho" w:eastAsia="MS Mincho" w:hAnsi="MS Mincho"/>
          <w:sz w:val="21"/>
          <w:szCs w:val="21"/>
          <w:highlight w:val="white"/>
          <w:rtl w:val="0"/>
        </w:rPr>
        <w:t xml:space="preserve">、</w:t>
      </w:r>
      <w:r w:rsidDel="00000000" w:rsidR="00000000" w:rsidRPr="00000000">
        <w:rPr>
          <w:sz w:val="21"/>
          <w:szCs w:val="21"/>
          <w:highlight w:val="white"/>
          <w:rtl w:val="0"/>
        </w:rPr>
        <w:t xml:space="preserve">#1</w:t>
      </w:r>
      <w:r w:rsidDel="00000000" w:rsidR="00000000" w:rsidRPr="00000000">
        <w:rPr>
          <w:rFonts w:ascii="MS Mincho" w:cs="MS Mincho" w:eastAsia="MS Mincho" w:hAnsi="MS Mincho"/>
          <w:sz w:val="21"/>
          <w:szCs w:val="21"/>
          <w:highlight w:val="white"/>
          <w:rtl w:val="0"/>
        </w:rPr>
        <w:t xml:space="preserve">、</w:t>
      </w:r>
      <w:r w:rsidDel="00000000" w:rsidR="00000000" w:rsidRPr="00000000">
        <w:rPr>
          <w:sz w:val="21"/>
          <w:szCs w:val="21"/>
          <w:highlight w:val="white"/>
          <w:rtl w:val="0"/>
        </w:rPr>
        <w:t xml:space="preserve">#2 </w:t>
      </w:r>
      <w:r w:rsidDel="00000000" w:rsidR="00000000" w:rsidRPr="00000000">
        <w:rPr>
          <w:rFonts w:ascii="MS Mincho" w:cs="MS Mincho" w:eastAsia="MS Mincho" w:hAnsi="MS Mincho"/>
          <w:sz w:val="21"/>
          <w:szCs w:val="21"/>
          <w:highlight w:val="white"/>
          <w:rtl w:val="0"/>
        </w:rPr>
        <w:t xml:space="preserve">中可觀察到，</w:t>
      </w:r>
      <w:r w:rsidDel="00000000" w:rsidR="00000000" w:rsidRPr="00000000">
        <w:rPr>
          <w:sz w:val="21"/>
          <w:szCs w:val="21"/>
          <w:highlight w:val="white"/>
          <w:rtl w:val="0"/>
        </w:rPr>
        <w:t xml:space="preserve">LSTM </w:t>
      </w:r>
      <w:r w:rsidDel="00000000" w:rsidR="00000000" w:rsidRPr="00000000">
        <w:rPr>
          <w:rFonts w:ascii="MS Mincho" w:cs="MS Mincho" w:eastAsia="MS Mincho" w:hAnsi="MS Mincho"/>
          <w:sz w:val="21"/>
          <w:szCs w:val="21"/>
          <w:highlight w:val="white"/>
          <w:rtl w:val="0"/>
        </w:rPr>
        <w:t xml:space="preserve">預測曲線（橘線）普遍較為平滑，無法反映真實行為的劇烈變化。例如</w:t>
      </w:r>
      <w:r w:rsidDel="00000000" w:rsidR="00000000" w:rsidRPr="00000000">
        <w:rPr>
          <w:sz w:val="21"/>
          <w:szCs w:val="21"/>
          <w:highlight w:val="white"/>
          <w:rtl w:val="0"/>
        </w:rPr>
        <w:t xml:space="preserve"> Sample #0 </w:t>
      </w:r>
      <w:r w:rsidDel="00000000" w:rsidR="00000000" w:rsidRPr="00000000">
        <w:rPr>
          <w:rFonts w:ascii="MS Mincho" w:cs="MS Mincho" w:eastAsia="MS Mincho" w:hAnsi="MS Mincho"/>
          <w:sz w:val="21"/>
          <w:szCs w:val="21"/>
          <w:highlight w:val="white"/>
          <w:rtl w:val="0"/>
        </w:rPr>
        <w:t xml:space="preserve">的真實點擊數急劇下降，但模型僅給出緩慢下滑的趨勢。</w:t>
      </w:r>
      <w:r w:rsidDel="00000000" w:rsidR="00000000" w:rsidRPr="00000000">
        <w:rPr>
          <w:rtl w:val="0"/>
        </w:rPr>
      </w:r>
    </w:p>
    <w:p w:rsidR="00000000" w:rsidDel="00000000" w:rsidP="00000000" w:rsidRDefault="00000000" w:rsidRPr="00000000" w14:paraId="00000032">
      <w:pPr>
        <w:spacing w:before="240" w:lineRule="auto"/>
        <w:ind w:left="0" w:firstLine="0"/>
        <w:rPr/>
      </w:pPr>
      <w:r w:rsidDel="00000000" w:rsidR="00000000" w:rsidRPr="00000000">
        <w:rPr/>
        <w:drawing>
          <wp:inline distB="114300" distT="114300" distL="114300" distR="114300">
            <wp:extent cx="1890713" cy="145366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90713" cy="1453663"/>
                    </a:xfrm>
                    <a:prstGeom prst="rect"/>
                    <a:ln/>
                  </pic:spPr>
                </pic:pic>
              </a:graphicData>
            </a:graphic>
          </wp:inline>
        </w:drawing>
      </w:r>
      <w:r w:rsidDel="00000000" w:rsidR="00000000" w:rsidRPr="00000000">
        <w:rPr/>
        <w:drawing>
          <wp:inline distB="114300" distT="114300" distL="114300" distR="114300">
            <wp:extent cx="1833563" cy="143997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33563" cy="1439971"/>
                    </a:xfrm>
                    <a:prstGeom prst="rect"/>
                    <a:ln/>
                  </pic:spPr>
                </pic:pic>
              </a:graphicData>
            </a:graphic>
          </wp:inline>
        </w:drawing>
      </w:r>
      <w:r w:rsidDel="00000000" w:rsidR="00000000" w:rsidRPr="00000000">
        <w:rPr/>
        <w:drawing>
          <wp:inline distB="114300" distT="114300" distL="114300" distR="114300">
            <wp:extent cx="1862138" cy="1455681"/>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62138" cy="145568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sz w:val="21"/>
          <w:szCs w:val="21"/>
          <w:highlight w:val="white"/>
          <w:rtl w:val="0"/>
        </w:rPr>
        <w:t xml:space="preserve">VAE </w:t>
      </w:r>
      <w:r w:rsidDel="00000000" w:rsidR="00000000" w:rsidRPr="00000000">
        <w:rPr>
          <w:rFonts w:ascii="MS Mincho" w:cs="MS Mincho" w:eastAsia="MS Mincho" w:hAnsi="MS Mincho"/>
          <w:sz w:val="21"/>
          <w:szCs w:val="21"/>
          <w:highlight w:val="white"/>
          <w:rtl w:val="0"/>
        </w:rPr>
        <w:t xml:space="preserve">模型</w:t>
      </w:r>
      <w:r w:rsidDel="00000000" w:rsidR="00000000" w:rsidRPr="00000000">
        <w:rPr>
          <w:rFonts w:ascii="Arial Unicode MS" w:cs="Arial Unicode MS" w:eastAsia="Arial Unicode MS" w:hAnsi="Arial Unicode MS"/>
          <w:sz w:val="21"/>
          <w:szCs w:val="21"/>
          <w:highlight w:val="white"/>
          <w:rtl w:val="0"/>
        </w:rPr>
        <w:t xml:space="preserve">：生成 N 條序列樣本（例如 20 條）</w:t>
      </w:r>
      <w:r w:rsidDel="00000000" w:rsidR="00000000" w:rsidRPr="00000000">
        <w:rPr>
          <w:rtl w:val="0"/>
        </w:rPr>
      </w:r>
    </w:p>
    <w:p w:rsidR="00000000" w:rsidDel="00000000" w:rsidP="00000000" w:rsidRDefault="00000000" w:rsidRPr="00000000" w14:paraId="00000035">
      <w:pPr>
        <w:numPr>
          <w:ilvl w:val="1"/>
          <w:numId w:val="4"/>
        </w:numPr>
        <w:spacing w:after="240" w:before="0" w:beforeAutospacing="0" w:lineRule="auto"/>
        <w:ind w:left="1440" w:hanging="360"/>
      </w:pPr>
      <w:r w:rsidDel="00000000" w:rsidR="00000000" w:rsidRPr="00000000">
        <w:rPr>
          <w:rFonts w:ascii="MS Mincho" w:cs="MS Mincho" w:eastAsia="MS Mincho" w:hAnsi="MS Mincho"/>
          <w:sz w:val="21"/>
          <w:szCs w:val="21"/>
          <w:highlight w:val="white"/>
          <w:rtl w:val="0"/>
        </w:rPr>
        <w:t xml:space="preserve">在</w:t>
      </w:r>
      <w:r w:rsidDel="00000000" w:rsidR="00000000" w:rsidRPr="00000000">
        <w:rPr>
          <w:sz w:val="21"/>
          <w:szCs w:val="21"/>
          <w:highlight w:val="white"/>
          <w:rtl w:val="0"/>
        </w:rPr>
        <w:t xml:space="preserve"> Case #0 </w:t>
      </w:r>
      <w:r w:rsidDel="00000000" w:rsidR="00000000" w:rsidRPr="00000000">
        <w:rPr>
          <w:rFonts w:ascii="MS Mincho" w:cs="MS Mincho" w:eastAsia="MS Mincho" w:hAnsi="MS Mincho"/>
          <w:sz w:val="21"/>
          <w:szCs w:val="21"/>
          <w:highlight w:val="white"/>
          <w:rtl w:val="0"/>
        </w:rPr>
        <w:t xml:space="preserve">圖中，藍色半透明曲線為</w:t>
      </w:r>
      <w:r w:rsidDel="00000000" w:rsidR="00000000" w:rsidRPr="00000000">
        <w:rPr>
          <w:sz w:val="21"/>
          <w:szCs w:val="21"/>
          <w:highlight w:val="white"/>
          <w:rtl w:val="0"/>
        </w:rPr>
        <w:t xml:space="preserve"> 20 </w:t>
      </w:r>
      <w:r w:rsidDel="00000000" w:rsidR="00000000" w:rsidRPr="00000000">
        <w:rPr>
          <w:rFonts w:ascii="MS Mincho" w:cs="MS Mincho" w:eastAsia="MS Mincho" w:hAnsi="MS Mincho"/>
          <w:sz w:val="21"/>
          <w:szCs w:val="21"/>
          <w:highlight w:val="white"/>
          <w:rtl w:val="0"/>
        </w:rPr>
        <w:t xml:space="preserve">條生成樣本，紅線為</w:t>
      </w:r>
      <w:r w:rsidDel="00000000" w:rsidR="00000000" w:rsidRPr="00000000">
        <w:rPr>
          <w:sz w:val="21"/>
          <w:szCs w:val="21"/>
          <w:highlight w:val="white"/>
          <w:rtl w:val="0"/>
        </w:rPr>
        <w:t xml:space="preserve"> LSTM </w:t>
      </w:r>
      <w:r w:rsidDel="00000000" w:rsidR="00000000" w:rsidRPr="00000000">
        <w:rPr>
          <w:rFonts w:ascii="MS Mincho" w:cs="MS Mincho" w:eastAsia="MS Mincho" w:hAnsi="MS Mincho"/>
          <w:sz w:val="21"/>
          <w:szCs w:val="21"/>
          <w:highlight w:val="white"/>
          <w:rtl w:val="0"/>
        </w:rPr>
        <w:t xml:space="preserve">預測，黑線為真實值。可以看出，</w:t>
      </w:r>
      <w:r w:rsidDel="00000000" w:rsidR="00000000" w:rsidRPr="00000000">
        <w:rPr>
          <w:sz w:val="21"/>
          <w:szCs w:val="21"/>
          <w:highlight w:val="white"/>
          <w:rtl w:val="0"/>
        </w:rPr>
        <w:t xml:space="preserve">VAE </w:t>
      </w:r>
      <w:r w:rsidDel="00000000" w:rsidR="00000000" w:rsidRPr="00000000">
        <w:rPr>
          <w:rFonts w:ascii="MS Mincho" w:cs="MS Mincho" w:eastAsia="MS Mincho" w:hAnsi="MS Mincho"/>
          <w:sz w:val="21"/>
          <w:szCs w:val="21"/>
          <w:highlight w:val="white"/>
          <w:rtl w:val="0"/>
        </w:rPr>
        <w:t xml:space="preserve">的生成範圍包覆真實值範圍，能有效呈現潛在行為的不確定性，提升覆蓋率與多樣性。</w:t>
      </w:r>
      <w:r w:rsidDel="00000000" w:rsidR="00000000" w:rsidRPr="00000000">
        <w:rPr>
          <w:rtl w:val="0"/>
        </w:rPr>
      </w:r>
    </w:p>
    <w:p w:rsidR="00000000" w:rsidDel="00000000" w:rsidP="00000000" w:rsidRDefault="00000000" w:rsidRPr="00000000" w14:paraId="00000036">
      <w:pPr>
        <w:keepNext w:val="0"/>
        <w:keepLines w:val="0"/>
        <w:spacing w:after="240" w:before="240" w:lineRule="auto"/>
        <w:ind w:left="0" w:firstLine="720"/>
        <w:rPr/>
      </w:pPr>
      <w:r w:rsidDel="00000000" w:rsidR="00000000" w:rsidRPr="00000000">
        <w:rPr/>
        <w:drawing>
          <wp:inline distB="114300" distT="114300" distL="114300" distR="114300">
            <wp:extent cx="4181723" cy="3157412"/>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81723" cy="315741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ind w:left="0" w:firstLine="0"/>
        <w:rPr>
          <w:b w:val="1"/>
          <w:color w:val="434343"/>
          <w:sz w:val="21"/>
          <w:szCs w:val="21"/>
          <w:highlight w:val="white"/>
        </w:rPr>
      </w:pPr>
      <w:bookmarkStart w:colFirst="0" w:colLast="0" w:name="_wny8xzuh3zpq" w:id="5"/>
      <w:bookmarkEnd w:id="5"/>
      <w:r w:rsidDel="00000000" w:rsidR="00000000" w:rsidRPr="00000000">
        <w:rPr>
          <w:rtl w:val="0"/>
        </w:rPr>
      </w:r>
    </w:p>
    <w:p w:rsidR="00000000" w:rsidDel="00000000" w:rsidP="00000000" w:rsidRDefault="00000000" w:rsidRPr="00000000" w14:paraId="00000038">
      <w:pPr>
        <w:pStyle w:val="Heading2"/>
        <w:keepNext w:val="0"/>
        <w:keepLines w:val="0"/>
        <w:spacing w:after="80" w:lineRule="auto"/>
        <w:ind w:left="0" w:firstLine="0"/>
        <w:rPr>
          <w:b w:val="1"/>
          <w:color w:val="434343"/>
          <w:sz w:val="21"/>
          <w:szCs w:val="21"/>
          <w:highlight w:val="white"/>
        </w:rPr>
      </w:pPr>
      <w:bookmarkStart w:colFirst="0" w:colLast="0" w:name="_3xj9ory1b44d" w:id="0"/>
      <w:bookmarkEnd w:id="0"/>
      <w:r w:rsidDel="00000000" w:rsidR="00000000" w:rsidRPr="00000000">
        <w:rPr>
          <w:rFonts w:ascii="Arial Unicode MS" w:cs="Arial Unicode MS" w:eastAsia="Arial Unicode MS" w:hAnsi="Arial Unicode MS"/>
          <w:b w:val="1"/>
          <w:color w:val="434343"/>
          <w:sz w:val="21"/>
          <w:szCs w:val="21"/>
          <w:highlight w:val="white"/>
          <w:rtl w:val="0"/>
        </w:rPr>
        <w:t xml:space="preserve">優缺點討論</w:t>
      </w:r>
    </w:p>
    <w:p w:rsidR="00000000" w:rsidDel="00000000" w:rsidP="00000000" w:rsidRDefault="00000000" w:rsidRPr="00000000" w14:paraId="00000039">
      <w:pPr>
        <w:rPr/>
      </w:pPr>
      <w:r w:rsidDel="00000000" w:rsidR="00000000" w:rsidRPr="00000000">
        <w:rPr>
          <w:rtl w:val="0"/>
        </w:rPr>
      </w:r>
    </w:p>
    <w:tbl>
      <w:tblPr>
        <w:tblStyle w:val="Table3"/>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225"/>
        <w:gridCol w:w="3390"/>
        <w:tblGridChange w:id="0">
          <w:tblGrid>
            <w:gridCol w:w="2145"/>
            <w:gridCol w:w="3225"/>
            <w:gridCol w:w="3390"/>
          </w:tblGrid>
        </w:tblGridChange>
      </w:tblGrid>
      <w:tr>
        <w:trPr>
          <w:cantSplit w:val="0"/>
          <w:trHeight w:val="345" w:hRule="atLeast"/>
          <w:tblHeader w:val="0"/>
        </w:trPr>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模型</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優點</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缺點</w:t>
            </w:r>
          </w:p>
        </w:tc>
      </w:tr>
      <w:tr>
        <w:trPr>
          <w:cantSplit w:val="0"/>
          <w:trHeight w:val="1050" w:hRule="atLeast"/>
          <w:tblHeader w:val="0"/>
        </w:trPr>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ind w:left="0" w:firstLine="0"/>
              <w:rPr>
                <w:sz w:val="20"/>
                <w:szCs w:val="20"/>
              </w:rPr>
            </w:pPr>
            <w:r w:rsidDel="00000000" w:rsidR="00000000" w:rsidRPr="00000000">
              <w:rPr>
                <w:sz w:val="20"/>
                <w:szCs w:val="20"/>
                <w:rtl w:val="0"/>
              </w:rPr>
              <w:t xml:space="preserve">Seq2Seq LSTM</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3E">
            <w:pPr>
              <w:numPr>
                <w:ilvl w:val="0"/>
                <w:numId w:val="1"/>
              </w:numPr>
              <w:spacing w:after="0" w:afterAutospacing="0" w:before="240" w:lineRule="auto"/>
              <w:ind w:left="720" w:hanging="36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結構簡單</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訓練穩定</w:t>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推論速度快</w:t>
            </w:r>
          </w:p>
          <w:p w:rsidR="00000000" w:rsidDel="00000000" w:rsidP="00000000" w:rsidRDefault="00000000" w:rsidRPr="00000000" w14:paraId="00000041">
            <w:pPr>
              <w:numPr>
                <w:ilvl w:val="0"/>
                <w:numId w:val="1"/>
              </w:numPr>
              <w:spacing w:after="240" w:before="0" w:beforeAutospacing="0" w:lineRule="auto"/>
              <w:ind w:left="720" w:hanging="36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適合單一趨勢序列預測</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42">
            <w:pPr>
              <w:numPr>
                <w:ilvl w:val="0"/>
                <w:numId w:val="2"/>
              </w:numPr>
              <w:spacing w:after="0" w:afterAutospacing="0" w:before="240" w:lineRule="auto"/>
              <w:ind w:left="720" w:hanging="360"/>
              <w:rPr>
                <w:rFonts w:ascii="MS Mincho" w:cs="MS Mincho" w:eastAsia="MS Mincho" w:hAnsi="MS Mincho"/>
                <w:sz w:val="20"/>
                <w:szCs w:val="20"/>
                <w:u w:val="none"/>
              </w:rPr>
            </w:pPr>
            <w:r w:rsidDel="00000000" w:rsidR="00000000" w:rsidRPr="00000000">
              <w:rPr>
                <w:rFonts w:ascii="MS Mincho" w:cs="MS Mincho" w:eastAsia="MS Mincho" w:hAnsi="MS Mincho"/>
                <w:sz w:val="20"/>
                <w:szCs w:val="20"/>
                <w:rtl w:val="0"/>
              </w:rPr>
              <w:t xml:space="preserve">無法捕捉學習行為的突變或不確定性</w:t>
            </w:r>
          </w:p>
          <w:p w:rsidR="00000000" w:rsidDel="00000000" w:rsidP="00000000" w:rsidRDefault="00000000" w:rsidRPr="00000000" w14:paraId="00000043">
            <w:pPr>
              <w:numPr>
                <w:ilvl w:val="0"/>
                <w:numId w:val="2"/>
              </w:numPr>
              <w:spacing w:after="240" w:before="0" w:beforeAutospacing="0" w:lineRule="auto"/>
              <w:ind w:left="720" w:hanging="360"/>
              <w:rPr>
                <w:rFonts w:ascii="MS Mincho" w:cs="MS Mincho" w:eastAsia="MS Mincho" w:hAnsi="MS Mincho"/>
                <w:sz w:val="20"/>
                <w:szCs w:val="20"/>
                <w:u w:val="none"/>
              </w:rPr>
            </w:pPr>
            <w:r w:rsidDel="00000000" w:rsidR="00000000" w:rsidRPr="00000000">
              <w:rPr>
                <w:rFonts w:ascii="MS Mincho" w:cs="MS Mincho" w:eastAsia="MS Mincho" w:hAnsi="MS Mincho"/>
                <w:sz w:val="20"/>
                <w:szCs w:val="20"/>
                <w:rtl w:val="0"/>
              </w:rPr>
              <w:t xml:space="preserve">預測結果過於平滑</w:t>
            </w:r>
          </w:p>
        </w:tc>
      </w:tr>
      <w:tr>
        <w:trPr>
          <w:cantSplit w:val="0"/>
          <w:trHeight w:val="1395" w:hRule="atLeast"/>
          <w:tblHeader w:val="0"/>
        </w:trPr>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Seq2Seq VAE</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45">
            <w:pPr>
              <w:numPr>
                <w:ilvl w:val="0"/>
                <w:numId w:val="3"/>
              </w:numPr>
              <w:spacing w:after="0" w:afterAutospacing="0" w:before="240" w:lineRule="auto"/>
              <w:ind w:left="720" w:hanging="360"/>
              <w:rPr>
                <w:sz w:val="20"/>
                <w:szCs w:val="20"/>
              </w:rPr>
            </w:pPr>
            <w:r w:rsidDel="00000000" w:rsidR="00000000" w:rsidRPr="00000000">
              <w:rPr>
                <w:rFonts w:ascii="MS Mincho" w:cs="MS Mincho" w:eastAsia="MS Mincho" w:hAnsi="MS Mincho"/>
                <w:sz w:val="20"/>
                <w:szCs w:val="20"/>
                <w:rtl w:val="0"/>
              </w:rPr>
              <w:t xml:space="preserve">能透過潛在變數生成多樣結果</w:t>
            </w:r>
          </w:p>
          <w:p w:rsidR="00000000" w:rsidDel="00000000" w:rsidP="00000000" w:rsidRDefault="00000000" w:rsidRPr="00000000" w14:paraId="0000004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Best-of-N </w:t>
            </w:r>
            <w:r w:rsidDel="00000000" w:rsidR="00000000" w:rsidRPr="00000000">
              <w:rPr>
                <w:rFonts w:ascii="MS Mincho" w:cs="MS Mincho" w:eastAsia="MS Mincho" w:hAnsi="MS Mincho"/>
                <w:sz w:val="20"/>
                <w:szCs w:val="20"/>
                <w:rtl w:val="0"/>
              </w:rPr>
              <w:t xml:space="preserve">表現更佳</w:t>
            </w:r>
          </w:p>
          <w:p w:rsidR="00000000" w:rsidDel="00000000" w:rsidP="00000000" w:rsidRDefault="00000000" w:rsidRPr="00000000" w14:paraId="00000047">
            <w:pPr>
              <w:numPr>
                <w:ilvl w:val="0"/>
                <w:numId w:val="3"/>
              </w:numPr>
              <w:spacing w:after="240" w:before="0" w:beforeAutospacing="0" w:lineRule="auto"/>
              <w:ind w:left="720" w:hanging="36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覆蓋率高，能模擬多種未來情境</w:t>
            </w:r>
          </w:p>
        </w:tc>
        <w:tc>
          <w:tcPr>
            <w:tcBorders>
              <w:top w:color="999999" w:space="0" w:sz="4" w:val="single"/>
              <w:left w:color="999999" w:space="0" w:sz="4" w:val="single"/>
              <w:bottom w:color="999999" w:space="0" w:sz="4" w:val="single"/>
              <w:right w:color="999999" w:space="0" w:sz="4" w:val="single"/>
            </w:tcBorders>
            <w:tcMar>
              <w:top w:w="0.0" w:type="dxa"/>
              <w:left w:w="100.0" w:type="dxa"/>
              <w:bottom w:w="0.0" w:type="dxa"/>
              <w:right w:w="100.0" w:type="dxa"/>
            </w:tcMar>
            <w:vAlign w:val="top"/>
          </w:tcPr>
          <w:p w:rsidR="00000000" w:rsidDel="00000000" w:rsidP="00000000" w:rsidRDefault="00000000" w:rsidRPr="00000000" w14:paraId="00000048">
            <w:pPr>
              <w:numPr>
                <w:ilvl w:val="0"/>
                <w:numId w:val="5"/>
              </w:numPr>
              <w:spacing w:after="0" w:afterAutospacing="0" w:before="240" w:lineRule="auto"/>
              <w:ind w:left="720" w:hanging="36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訓練時間較長</w:t>
            </w:r>
          </w:p>
          <w:p w:rsidR="00000000" w:rsidDel="00000000" w:rsidP="00000000" w:rsidRDefault="00000000" w:rsidRPr="00000000" w14:paraId="00000049">
            <w:pPr>
              <w:numPr>
                <w:ilvl w:val="0"/>
                <w:numId w:val="5"/>
              </w:numPr>
              <w:spacing w:after="0" w:afterAutospacing="0" w:before="0" w:beforeAutospacing="0" w:lineRule="auto"/>
              <w:ind w:left="720" w:hanging="360"/>
              <w:rPr>
                <w:sz w:val="20"/>
                <w:szCs w:val="20"/>
              </w:rPr>
            </w:pPr>
            <w:r w:rsidDel="00000000" w:rsidR="00000000" w:rsidRPr="00000000">
              <w:rPr>
                <w:rFonts w:ascii="MS Mincho" w:cs="MS Mincho" w:eastAsia="MS Mincho" w:hAnsi="MS Mincho"/>
                <w:sz w:val="20"/>
                <w:szCs w:val="20"/>
                <w:rtl w:val="0"/>
              </w:rPr>
              <w:t xml:space="preserve">需調整</w:t>
            </w:r>
            <w:r w:rsidDel="00000000" w:rsidR="00000000" w:rsidRPr="00000000">
              <w:rPr>
                <w:sz w:val="20"/>
                <w:szCs w:val="20"/>
                <w:rtl w:val="0"/>
              </w:rPr>
              <w:t xml:space="preserve"> β</w:t>
            </w:r>
            <w:r w:rsidDel="00000000" w:rsidR="00000000" w:rsidRPr="00000000">
              <w:rPr>
                <w:rFonts w:ascii="MS Mincho" w:cs="MS Mincho" w:eastAsia="MS Mincho" w:hAnsi="MS Mincho"/>
                <w:sz w:val="20"/>
                <w:szCs w:val="20"/>
                <w:rtl w:val="0"/>
              </w:rPr>
              <w:t xml:space="preserve">（</w:t>
            </w:r>
            <w:r w:rsidDel="00000000" w:rsidR="00000000" w:rsidRPr="00000000">
              <w:rPr>
                <w:sz w:val="20"/>
                <w:szCs w:val="20"/>
                <w:rtl w:val="0"/>
              </w:rPr>
              <w:t xml:space="preserve">KL loss </w:t>
            </w:r>
            <w:r w:rsidDel="00000000" w:rsidR="00000000" w:rsidRPr="00000000">
              <w:rPr>
                <w:rFonts w:ascii="MS Mincho" w:cs="MS Mincho" w:eastAsia="MS Mincho" w:hAnsi="MS Mincho"/>
                <w:sz w:val="20"/>
                <w:szCs w:val="20"/>
                <w:rtl w:val="0"/>
              </w:rPr>
              <w:t xml:space="preserve">權重）</w:t>
            </w:r>
          </w:p>
          <w:p w:rsidR="00000000" w:rsidDel="00000000" w:rsidP="00000000" w:rsidRDefault="00000000" w:rsidRPr="00000000" w14:paraId="0000004A">
            <w:pPr>
              <w:numPr>
                <w:ilvl w:val="0"/>
                <w:numId w:val="5"/>
              </w:numPr>
              <w:spacing w:after="240" w:before="0" w:beforeAutospacing="0" w:lineRule="auto"/>
              <w:ind w:left="720" w:hanging="36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可能出現生成樣本過於分散的問題</w:t>
            </w:r>
          </w:p>
        </w:tc>
      </w:tr>
    </w:tbl>
    <w:p w:rsidR="00000000" w:rsidDel="00000000" w:rsidP="00000000" w:rsidRDefault="00000000" w:rsidRPr="00000000" w14:paraId="0000004B">
      <w:pPr>
        <w:rPr>
          <w:rFonts w:ascii="MS Mincho" w:cs="MS Mincho" w:eastAsia="MS Mincho" w:hAnsi="MS Mincho"/>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MS Mincho" w:cs="MS Mincho" w:eastAsia="MS Mincho" w:hAnsi="MS Mincho"/>
          <w:rtl w:val="0"/>
        </w:rPr>
        <w:t xml:space="preserve">整體而言，</w:t>
      </w:r>
      <w:r w:rsidDel="00000000" w:rsidR="00000000" w:rsidRPr="00000000">
        <w:rPr>
          <w:rFonts w:ascii="Times New Roman" w:cs="Times New Roman" w:eastAsia="Times New Roman" w:hAnsi="Times New Roman"/>
          <w:rtl w:val="0"/>
        </w:rPr>
        <w:t xml:space="preserve">LSTM </w:t>
      </w:r>
      <w:r w:rsidDel="00000000" w:rsidR="00000000" w:rsidRPr="00000000">
        <w:rPr>
          <w:rFonts w:ascii="MS Mincho" w:cs="MS Mincho" w:eastAsia="MS Mincho" w:hAnsi="MS Mincho"/>
          <w:rtl w:val="0"/>
        </w:rPr>
        <w:t xml:space="preserve">適合用於穩定、趨勢明確的預測任務，而</w:t>
      </w:r>
      <w:r w:rsidDel="00000000" w:rsidR="00000000" w:rsidRPr="00000000">
        <w:rPr>
          <w:rFonts w:ascii="Times New Roman" w:cs="Times New Roman" w:eastAsia="Times New Roman" w:hAnsi="Times New Roman"/>
          <w:rtl w:val="0"/>
        </w:rPr>
        <w:t xml:space="preserve"> VAE </w:t>
      </w:r>
      <w:r w:rsidDel="00000000" w:rsidR="00000000" w:rsidRPr="00000000">
        <w:rPr>
          <w:rFonts w:ascii="MS Mincho" w:cs="MS Mincho" w:eastAsia="MS Mincho" w:hAnsi="MS Mincho"/>
          <w:rtl w:val="0"/>
        </w:rPr>
        <w:t xml:space="preserve">更適合應用於具有高度不確定性與多樣性的行為建模任務。在教育資料中，學生行為受到多重因素影響，</w:t>
      </w:r>
      <w:r w:rsidDel="00000000" w:rsidR="00000000" w:rsidRPr="00000000">
        <w:rPr>
          <w:rFonts w:ascii="Times New Roman" w:cs="Times New Roman" w:eastAsia="Times New Roman" w:hAnsi="Times New Roman"/>
          <w:rtl w:val="0"/>
        </w:rPr>
        <w:t xml:space="preserve">VAE </w:t>
      </w:r>
      <w:r w:rsidDel="00000000" w:rsidR="00000000" w:rsidRPr="00000000">
        <w:rPr>
          <w:rFonts w:ascii="MS Mincho" w:cs="MS Mincho" w:eastAsia="MS Mincho" w:hAnsi="MS Mincho"/>
          <w:rtl w:val="0"/>
        </w:rPr>
        <w:t xml:space="preserve">提供了一種更具彈性的生成式建模途徑。</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