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48"/>
        </w:rPr>
        <w:t>Smart Contract Legal AI SaaS Platform</w:t>
      </w:r>
    </w:p>
    <w:p>
      <w:pPr>
        <w:spacing w:after="360"/>
        <w:jc w:val="center"/>
      </w:pPr>
      <w:r>
        <w:rPr>
          <w:i/>
          <w:color w:val="4A5568"/>
          <w:sz w:val="26"/>
        </w:rPr>
        <w:t>Comprehensive Product Architecture, User Flow &amp; Implementation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1B365D"/>
              </w:rPr>
              <w:t xml:space="preserve">Core Vision Statement: </w:t>
            </w:r>
            <w:r>
              <w:rPr>
                <w:i/>
              </w:rPr>
              <w:t>If you're aiming to build this as a professional, publishable project, then don't think of it as 'an AI model with a website.' Think of it as a SaaS platform where the AI model is one core feature.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6"/>
        </w:rPr>
        <w:t>Complete User Flow Architecture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1: Public Website</w:t>
      </w:r>
    </w:p>
    <w:p>
      <w:pPr>
        <w:spacing w:after="80"/>
      </w:pPr>
      <w:r>
        <w:rPr>
          <w:i/>
          <w:color w:val="4A5568"/>
        </w:rPr>
        <w:t>This is what anyone sees before logging in.</w:t>
      </w:r>
    </w:p>
    <w:p>
      <w:pPr>
        <w:spacing w:before="80" w:after="40"/>
      </w:pPr>
      <w:r>
        <w:rPr>
          <w:b/>
          <w:color w:val="1B365D"/>
        </w:rPr>
        <w:t>1. Landing Page</w:t>
      </w:r>
    </w:p>
    <w:p>
      <w:pPr>
        <w:pStyle w:val="ListBullet"/>
        <w:spacing w:before="0" w:after="40"/>
      </w:pPr>
      <w:r>
        <w:t>Purpose: Introduce product, explain functionality, show screenshots, display features, and provide 'Get Started' action.</w:t>
      </w:r>
    </w:p>
    <w:p>
      <w:pPr>
        <w:pStyle w:val="ListBullet"/>
        <w:spacing w:before="0" w:after="40"/>
      </w:pPr>
      <w:r>
        <w:t>Features Included: Hero section, Features breakdown, How it works workflow, Pricing tier preview (optional), About section, Contact support form.</w:t>
      </w:r>
    </w:p>
    <w:p>
      <w:pPr>
        <w:spacing w:before="80" w:after="40"/>
      </w:pPr>
      <w:r>
        <w:rPr>
          <w:b/>
          <w:color w:val="1B365D"/>
        </w:rPr>
        <w:t>2. Login / Register</w:t>
      </w:r>
    </w:p>
    <w:p>
      <w:pPr>
        <w:pStyle w:val="ListBullet"/>
        <w:spacing w:before="0" w:after="40"/>
      </w:pPr>
      <w:r>
        <w:t>Authentication Options: Email &amp; Password, Google OAuth, GitHub OAuth (optional).</w:t>
      </w:r>
    </w:p>
    <w:p>
      <w:pPr>
        <w:pStyle w:val="ListBullet"/>
        <w:spacing w:before="0" w:after="40"/>
      </w:pPr>
      <w:r>
        <w:t>Core Features: Login, Account Registration, Forgot Password recovery workflow, Email Verification step.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2: User Dashboard</w:t>
      </w:r>
    </w:p>
    <w:p>
      <w:pPr>
        <w:spacing w:after="80"/>
      </w:pPr>
      <w:r>
        <w:rPr>
          <w:i/>
          <w:color w:val="4A5568"/>
        </w:rPr>
        <w:t>Main workspace presented to users post-authentication.</w:t>
      </w:r>
    </w:p>
    <w:p>
      <w:pPr>
        <w:spacing w:before="80" w:after="40"/>
      </w:pPr>
      <w:r>
        <w:rPr>
          <w:b/>
          <w:color w:val="1B365D"/>
        </w:rPr>
        <w:t>Dashboard Features</w:t>
      </w:r>
    </w:p>
    <w:p>
      <w:pPr>
        <w:pStyle w:val="ListBullet"/>
        <w:spacing w:before="0" w:after="40"/>
      </w:pPr>
      <w:r>
        <w:t>Personalized Welcome Message.</w:t>
      </w:r>
    </w:p>
    <w:p>
      <w:pPr>
        <w:pStyle w:val="ListBullet"/>
        <w:spacing w:before="0" w:after="40"/>
      </w:pPr>
      <w:r>
        <w:t>Key Metrics: Total number of analyzed contracts &amp; Average risk score across contracts.</w:t>
      </w:r>
    </w:p>
    <w:p>
      <w:pPr>
        <w:pStyle w:val="ListBullet"/>
        <w:spacing w:before="0" w:after="40"/>
      </w:pPr>
      <w:r>
        <w:t>Recent contract analysis feed.</w:t>
      </w:r>
    </w:p>
    <w:p>
      <w:pPr>
        <w:pStyle w:val="ListBullet"/>
        <w:spacing w:before="0" w:after="40"/>
      </w:pPr>
      <w:r>
        <w:t>Primary Call-to-Action: 'New Analysis' button.</w:t>
      </w:r>
    </w:p>
    <w:p>
      <w:pPr>
        <w:pStyle w:val="ListBullet"/>
        <w:spacing w:before="0" w:after="40"/>
      </w:pPr>
      <w:r>
        <w:t>System &amp; Audit Notifications banner.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3: New Analysis Workspace</w:t>
      </w:r>
    </w:p>
    <w:p>
      <w:pPr>
        <w:spacing w:after="80"/>
      </w:pPr>
      <w:r>
        <w:rPr>
          <w:i/>
          <w:color w:val="4A5568"/>
        </w:rPr>
        <w:t>Entry point for uploading and submitting contracts.</w:t>
      </w:r>
    </w:p>
    <w:p>
      <w:pPr>
        <w:spacing w:before="80" w:after="40"/>
      </w:pPr>
      <w:r>
        <w:rPr>
          <w:b/>
          <w:color w:val="1B365D"/>
        </w:rPr>
        <w:t>Input &amp; Configuration Options</w:t>
      </w:r>
    </w:p>
    <w:p>
      <w:pPr>
        <w:pStyle w:val="ListBullet"/>
        <w:spacing w:before="0" w:after="40"/>
      </w:pPr>
      <w:r>
        <w:t>Upload Solidity source code file (.sol).</w:t>
      </w:r>
    </w:p>
    <w:p>
      <w:pPr>
        <w:pStyle w:val="ListBullet"/>
        <w:spacing w:before="0" w:after="40"/>
      </w:pPr>
      <w:r>
        <w:t>Directly paste raw Solidity Code.</w:t>
      </w:r>
    </w:p>
    <w:p>
      <w:pPr>
        <w:pStyle w:val="ListBullet"/>
        <w:spacing w:before="0" w:after="40"/>
      </w:pPr>
      <w:r>
        <w:t>Upload Legal Contract PDF (Future roadmap).</w:t>
      </w:r>
    </w:p>
    <w:p>
      <w:pPr>
        <w:pStyle w:val="ListBullet"/>
        <w:spacing w:before="0" w:after="40"/>
      </w:pPr>
      <w:r>
        <w:t>Project Metadata: Assign Project Name and Optional Description.</w:t>
      </w:r>
    </w:p>
    <w:p>
      <w:pPr>
        <w:pStyle w:val="ListBullet"/>
        <w:spacing w:before="0" w:after="40"/>
      </w:pPr>
      <w:r>
        <w:t>Trigger Action: Submit for automated AI analysis.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4: AI Processing Engine</w:t>
      </w:r>
    </w:p>
    <w:p>
      <w:pPr>
        <w:spacing w:after="80"/>
      </w:pPr>
      <w:r>
        <w:rPr>
          <w:i/>
          <w:color w:val="4A5568"/>
        </w:rPr>
        <w:t>Asynchronous backend pipeline execution.</w:t>
      </w:r>
    </w:p>
    <w:p>
      <w:pPr>
        <w:spacing w:before="80" w:after="40"/>
      </w:pPr>
      <w:r>
        <w:rPr>
          <w:b/>
          <w:color w:val="1B365D"/>
        </w:rPr>
        <w:t>Execution Steps</w:t>
      </w:r>
    </w:p>
    <w:p>
      <w:pPr>
        <w:pStyle w:val="ListBullet"/>
        <w:spacing w:before="0" w:after="40"/>
      </w:pPr>
      <w:r>
        <w:t>1. Read &amp; Preprocess Solidity contract text.</w:t>
      </w:r>
    </w:p>
    <w:p>
      <w:pPr>
        <w:pStyle w:val="ListBullet"/>
        <w:spacing w:before="0" w:after="40"/>
      </w:pPr>
      <w:r>
        <w:t>2. Code &amp; Language Tokenization.</w:t>
      </w:r>
    </w:p>
    <w:p>
      <w:pPr>
        <w:pStyle w:val="ListBullet"/>
        <w:spacing w:before="0" w:after="40"/>
      </w:pPr>
      <w:r>
        <w:t>3. Legal-BERT Deep Learning model inference.</w:t>
      </w:r>
    </w:p>
    <w:p>
      <w:pPr>
        <w:pStyle w:val="ListBullet"/>
        <w:spacing w:before="0" w:after="40"/>
      </w:pPr>
      <w:r>
        <w:t>4. SHAP (SHapley Additive exPlanations) calculation.</w:t>
      </w:r>
    </w:p>
    <w:p>
      <w:pPr>
        <w:pStyle w:val="ListBullet"/>
        <w:spacing w:before="0" w:after="40"/>
      </w:pPr>
      <w:r>
        <w:t>5. LIME (Local Interpretable Model-agnostic Explanations) calculation.</w:t>
      </w:r>
    </w:p>
    <w:p>
      <w:pPr>
        <w:pStyle w:val="ListBullet"/>
        <w:spacing w:before="0" w:after="40"/>
      </w:pPr>
      <w:r>
        <w:t>6. Risk Categorization &amp; Rule-based filtering.</w:t>
      </w:r>
    </w:p>
    <w:p>
      <w:pPr>
        <w:pStyle w:val="ListBullet"/>
        <w:spacing w:before="0" w:after="40"/>
      </w:pPr>
      <w:r>
        <w:t>7. Database persistence of analytical results.</w:t>
      </w:r>
    </w:p>
    <w:p>
      <w:pPr>
        <w:pStyle w:val="ListBullet"/>
        <w:spacing w:before="0" w:after="40"/>
      </w:pPr>
      <w:r>
        <w:t>User Interface: Real-time interactive loading screen with progress percentage and stage status.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5: Analysis Result Dashboard</w:t>
      </w:r>
    </w:p>
    <w:p>
      <w:pPr>
        <w:spacing w:after="80"/>
      </w:pPr>
      <w:r>
        <w:rPr>
          <w:i/>
          <w:color w:val="4A5568"/>
        </w:rPr>
        <w:t>The central focal point and core value delivered by the platform.</w:t>
      </w:r>
    </w:p>
    <w:p>
      <w:pPr>
        <w:spacing w:before="80" w:after="40"/>
      </w:pPr>
      <w:r>
        <w:rPr>
          <w:b/>
          <w:color w:val="1B365D"/>
        </w:rPr>
        <w:t>1. Overall Risk Score</w:t>
      </w:r>
    </w:p>
    <w:p>
      <w:pPr>
        <w:pStyle w:val="ListBullet"/>
        <w:spacing w:before="0" w:after="40"/>
      </w:pPr>
      <w:r>
        <w:t>Aggregated High/Medium/Low visual score indicator (e.g., High Risk - 87%).</w:t>
      </w:r>
    </w:p>
    <w:p>
      <w:pPr>
        <w:spacing w:before="80" w:after="40"/>
      </w:pPr>
      <w:r>
        <w:rPr>
          <w:b/>
          <w:color w:val="1B365D"/>
        </w:rPr>
        <w:t>2. Risk Categories Breakdown</w:t>
      </w:r>
    </w:p>
    <w:p>
      <w:pPr>
        <w:pStyle w:val="ListBullet"/>
        <w:spacing w:before="0" w:after="40"/>
      </w:pPr>
      <w:r>
        <w:t>Categories Evaluated: Privacy, Termination, Legal Compliance, Liability, Payment/Financial.</w:t>
      </w:r>
    </w:p>
    <w:p>
      <w:pPr>
        <w:pStyle w:val="ListBullet"/>
        <w:spacing w:before="0" w:after="40"/>
      </w:pPr>
      <w:r>
        <w:t>Metrics per Category: Severity Level, Model Confidence Score, Detailed Risk Description.</w:t>
      </w:r>
    </w:p>
    <w:p>
      <w:pPr>
        <w:spacing w:before="80" w:after="40"/>
      </w:pPr>
      <w:r>
        <w:rPr>
          <w:b/>
          <w:color w:val="1B365D"/>
        </w:rPr>
        <w:t>3. Interactive Contract Viewer</w:t>
      </w:r>
    </w:p>
    <w:p>
      <w:pPr>
        <w:pStyle w:val="ListBullet"/>
        <w:spacing w:before="0" w:after="40"/>
      </w:pPr>
      <w:r>
        <w:t>Complete Solidity source code view.</w:t>
      </w:r>
    </w:p>
    <w:p>
      <w:pPr>
        <w:pStyle w:val="ListBullet"/>
        <w:spacing w:before="0" w:after="40"/>
      </w:pPr>
      <w:r>
        <w:t>Visual Code Highlighting: Red (High Risk), Yellow (Medium Risk), Green (Safe / Standard Clause).</w:t>
      </w:r>
    </w:p>
    <w:p>
      <w:pPr>
        <w:spacing w:before="80" w:after="40"/>
      </w:pPr>
      <w:r>
        <w:rPr>
          <w:b/>
          <w:color w:val="1B365D"/>
        </w:rPr>
        <w:t>4. Explainable AI (XAI) Panel</w:t>
      </w:r>
    </w:p>
    <w:p>
      <w:pPr>
        <w:pStyle w:val="ListBullet"/>
        <w:spacing w:before="0" w:after="40"/>
      </w:pPr>
      <w:r>
        <w:t>Interactive interaction: Click any highlighted clause to inspect.</w:t>
      </w:r>
    </w:p>
    <w:p>
      <w:pPr>
        <w:pStyle w:val="ListBullet"/>
        <w:spacing w:before="0" w:after="40"/>
      </w:pPr>
      <w:r>
        <w:t>Outputs: Specific risk explanation, SHAP feature score, LIME interpretability breakdown, Confidence metric.</w:t>
      </w:r>
    </w:p>
    <w:p>
      <w:pPr>
        <w:spacing w:before="80" w:after="40"/>
      </w:pPr>
      <w:r>
        <w:rPr>
          <w:b/>
          <w:color w:val="1B365D"/>
        </w:rPr>
        <w:t>5. AI Recommendation Engine</w:t>
      </w:r>
    </w:p>
    <w:p>
      <w:pPr>
        <w:pStyle w:val="ListBullet"/>
        <w:spacing w:before="0" w:after="40"/>
      </w:pPr>
      <w:r>
        <w:t>Side-by-side comparison: Current Risky Clause ➔ Suggested Safer Legal Standard Clause.</w:t>
      </w:r>
    </w:p>
    <w:p>
      <w:pPr>
        <w:spacing w:before="80" w:after="40"/>
      </w:pPr>
      <w:r>
        <w:rPr>
          <w:b/>
          <w:color w:val="1B365D"/>
        </w:rPr>
        <w:t>6. Compliance Score Matrix</w:t>
      </w:r>
    </w:p>
    <w:p>
      <w:pPr>
        <w:pStyle w:val="ListBullet"/>
        <w:spacing w:before="0" w:after="40"/>
      </w:pPr>
      <w:r>
        <w:t>Automated Audits: Consumer Law (✓), Privacy Standards (✗), AML Regulatory (✓), Contract Fairness (✗).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6: Interactive AI Legal Assistant</w:t>
      </w:r>
    </w:p>
    <w:p>
      <w:pPr>
        <w:spacing w:after="80"/>
      </w:pPr>
      <w:r>
        <w:rPr>
          <w:i/>
          <w:color w:val="4A5568"/>
        </w:rPr>
        <w:t>Context-aware conversational interface strictly scoped to the analyzed contract.</w:t>
      </w:r>
    </w:p>
    <w:p>
      <w:pPr>
        <w:spacing w:before="80" w:after="40"/>
      </w:pPr>
      <w:r>
        <w:rPr>
          <w:b/>
          <w:color w:val="1B365D"/>
        </w:rPr>
        <w:t>Capabilities &amp; Context</w:t>
      </w:r>
    </w:p>
    <w:p>
      <w:pPr>
        <w:pStyle w:val="ListBullet"/>
        <w:spacing w:before="0" w:after="40"/>
      </w:pPr>
      <w:r>
        <w:t>Strict scoping: The chatbot exclusively answers questions relevant to the current contract.</w:t>
      </w:r>
    </w:p>
    <w:p>
      <w:pPr>
        <w:pStyle w:val="ListBullet"/>
        <w:spacing w:before="0" w:after="40"/>
      </w:pPr>
      <w:r>
        <w:t>Sample User Queries: 'Explain Clause 7 in plain terms', 'Rewrite this termination clause', 'Is this clause GDPR compliant?', 'What makes this termination condition unfair?'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7: Exportable Audit Reports</w:t>
      </w:r>
    </w:p>
    <w:p>
      <w:pPr>
        <w:spacing w:after="80"/>
      </w:pPr>
      <w:r>
        <w:rPr>
          <w:i/>
          <w:color w:val="4A5568"/>
        </w:rPr>
        <w:t>Generate professional standard executive reports.</w:t>
      </w:r>
    </w:p>
    <w:p>
      <w:pPr>
        <w:spacing w:before="80" w:after="40"/>
      </w:pPr>
      <w:r>
        <w:rPr>
          <w:b/>
          <w:color w:val="1B365D"/>
        </w:rPr>
        <w:t>Export Formats</w:t>
      </w:r>
    </w:p>
    <w:p>
      <w:pPr>
        <w:pStyle w:val="ListBullet"/>
        <w:spacing w:before="0" w:after="40"/>
      </w:pPr>
      <w:r>
        <w:t>Download PDF Audit Report</w:t>
      </w:r>
    </w:p>
    <w:p>
      <w:pPr>
        <w:pStyle w:val="ListBullet"/>
        <w:spacing w:before="0" w:after="40"/>
      </w:pPr>
      <w:r>
        <w:t>Download Editable DOCX Report</w:t>
      </w:r>
    </w:p>
    <w:p>
      <w:pPr>
        <w:spacing w:before="80" w:after="40"/>
      </w:pPr>
      <w:r>
        <w:rPr>
          <w:b/>
          <w:color w:val="1B365D"/>
        </w:rPr>
        <w:t>Report Structure</w:t>
      </w:r>
    </w:p>
    <w:p>
      <w:pPr>
        <w:pStyle w:val="ListBullet"/>
        <w:spacing w:before="0" w:after="40"/>
      </w:pPr>
      <w:r>
        <w:t>Executive Summary ➔ Overall Risk Score ➔ Highlighted Risky Clauses ➔ AI Recommendations ➔ Full Compliance Matrix.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8: Analysis History &amp; Persistence</w:t>
      </w:r>
    </w:p>
    <w:p>
      <w:pPr>
        <w:spacing w:after="80"/>
      </w:pPr>
      <w:r>
        <w:rPr>
          <w:i/>
          <w:color w:val="4A5568"/>
        </w:rPr>
        <w:t>Historical repository of all performed contract audits.</w:t>
      </w:r>
    </w:p>
    <w:p>
      <w:pPr>
        <w:spacing w:before="80" w:after="40"/>
      </w:pPr>
      <w:r>
        <w:rPr>
          <w:b/>
          <w:color w:val="1B365D"/>
        </w:rPr>
        <w:t>Card Details</w:t>
      </w:r>
    </w:p>
    <w:p>
      <w:pPr>
        <w:pStyle w:val="ListBullet"/>
        <w:spacing w:before="0" w:after="40"/>
      </w:pPr>
      <w:r>
        <w:t>Contract Name</w:t>
      </w:r>
    </w:p>
    <w:p>
      <w:pPr>
        <w:pStyle w:val="ListBullet"/>
        <w:spacing w:before="0" w:after="40"/>
      </w:pPr>
      <w:r>
        <w:t>Audit Date</w:t>
      </w:r>
    </w:p>
    <w:p>
      <w:pPr>
        <w:pStyle w:val="ListBullet"/>
        <w:spacing w:before="0" w:after="40"/>
      </w:pPr>
      <w:r>
        <w:t>Risk Score Tag</w:t>
      </w:r>
    </w:p>
    <w:p>
      <w:pPr>
        <w:pStyle w:val="ListBullet"/>
        <w:spacing w:before="0" w:after="40"/>
      </w:pPr>
      <w:r>
        <w:t>Audit Status (Complete/Pending)</w:t>
      </w:r>
    </w:p>
    <w:p>
      <w:pPr>
        <w:spacing w:before="80" w:after="40"/>
      </w:pPr>
      <w:r>
        <w:rPr>
          <w:b/>
          <w:color w:val="1B365D"/>
        </w:rPr>
        <w:t>Interaction</w:t>
      </w:r>
    </w:p>
    <w:p>
      <w:pPr>
        <w:pStyle w:val="ListBullet"/>
        <w:spacing w:before="0" w:after="40"/>
      </w:pPr>
      <w:r>
        <w:t>Click any card to re-open full historical analysis and results.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9: Global Search &amp; Filtering</w:t>
      </w:r>
    </w:p>
    <w:p>
      <w:pPr>
        <w:spacing w:after="80"/>
      </w:pPr>
      <w:r>
        <w:rPr>
          <w:i/>
          <w:color w:val="4A5568"/>
        </w:rPr>
        <w:t>Tools to manage and explore historical contract databases.</w:t>
      </w:r>
    </w:p>
    <w:p>
      <w:pPr>
        <w:spacing w:before="80" w:after="40"/>
      </w:pPr>
      <w:r>
        <w:rPr>
          <w:b/>
          <w:color w:val="1B365D"/>
        </w:rPr>
        <w:t>Filters &amp; Criteria</w:t>
      </w:r>
    </w:p>
    <w:p>
      <w:pPr>
        <w:pStyle w:val="ListBullet"/>
        <w:spacing w:before="0" w:after="40"/>
      </w:pPr>
      <w:r>
        <w:t>Search by Keyword</w:t>
      </w:r>
    </w:p>
    <w:p>
      <w:pPr>
        <w:pStyle w:val="ListBullet"/>
        <w:spacing w:before="0" w:after="40"/>
      </w:pPr>
      <w:r>
        <w:t>Filter by Risk Level (High/Med/Low)</w:t>
      </w:r>
    </w:p>
    <w:p>
      <w:pPr>
        <w:pStyle w:val="ListBullet"/>
        <w:spacing w:before="0" w:after="40"/>
      </w:pPr>
      <w:r>
        <w:t>Filter by Date Range</w:t>
      </w:r>
    </w:p>
    <w:p>
      <w:pPr>
        <w:pStyle w:val="ListBullet"/>
        <w:spacing w:before="0" w:after="40"/>
      </w:pPr>
      <w:r>
        <w:t>Filter by Company / Organization</w:t>
      </w:r>
    </w:p>
    <w:p>
      <w:pPr>
        <w:pStyle w:val="ListBullet"/>
        <w:spacing w:before="0" w:after="40"/>
      </w:pPr>
      <w:r>
        <w:t>Filter by Contract Type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10: Notifications System</w:t>
      </w:r>
    </w:p>
    <w:p>
      <w:pPr>
        <w:spacing w:after="80"/>
      </w:pPr>
      <w:r>
        <w:rPr>
          <w:i/>
          <w:color w:val="4A5568"/>
        </w:rPr>
        <w:t>System and automated workflow alerts.</w:t>
      </w:r>
    </w:p>
    <w:p>
      <w:pPr>
        <w:spacing w:before="80" w:after="40"/>
      </w:pPr>
      <w:r>
        <w:rPr>
          <w:b/>
          <w:color w:val="1B365D"/>
        </w:rPr>
        <w:t>Alert Types</w:t>
      </w:r>
    </w:p>
    <w:p>
      <w:pPr>
        <w:pStyle w:val="ListBullet"/>
        <w:spacing w:before="0" w:after="40"/>
      </w:pPr>
      <w:r>
        <w:t>Analysis Completed Notification</w:t>
      </w:r>
    </w:p>
    <w:p>
      <w:pPr>
        <w:pStyle w:val="ListBullet"/>
        <w:spacing w:before="0" w:after="40"/>
      </w:pPr>
      <w:r>
        <w:t>Report Ready for Download</w:t>
      </w:r>
    </w:p>
    <w:p>
      <w:pPr>
        <w:pStyle w:val="ListBullet"/>
        <w:spacing w:before="0" w:after="40"/>
      </w:pPr>
      <w:r>
        <w:t>New Vulnerability/Risk Pattern Detected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11: User Profile Management</w:t>
      </w:r>
    </w:p>
    <w:p>
      <w:pPr>
        <w:spacing w:after="80"/>
      </w:pPr>
      <w:r>
        <w:rPr>
          <w:i/>
          <w:color w:val="4A5568"/>
        </w:rPr>
        <w:t>Account parameters and identity settings.</w:t>
      </w:r>
    </w:p>
    <w:p>
      <w:pPr>
        <w:spacing w:before="80" w:after="40"/>
      </w:pPr>
      <w:r>
        <w:rPr>
          <w:b/>
          <w:color w:val="1B365D"/>
        </w:rPr>
        <w:t>Profile Attributes</w:t>
      </w:r>
    </w:p>
    <w:p>
      <w:pPr>
        <w:pStyle w:val="ListBullet"/>
        <w:spacing w:before="0" w:after="40"/>
      </w:pPr>
      <w:r>
        <w:t>Full Name</w:t>
      </w:r>
    </w:p>
    <w:p>
      <w:pPr>
        <w:pStyle w:val="ListBullet"/>
        <w:spacing w:before="0" w:after="40"/>
      </w:pPr>
      <w:r>
        <w:t>Email Address</w:t>
      </w:r>
    </w:p>
    <w:p>
      <w:pPr>
        <w:pStyle w:val="ListBullet"/>
        <w:spacing w:before="0" w:after="40"/>
      </w:pPr>
      <w:r>
        <w:t>Organization / Company</w:t>
      </w:r>
    </w:p>
    <w:p>
      <w:pPr>
        <w:pStyle w:val="ListBullet"/>
        <w:spacing w:before="0" w:after="40"/>
      </w:pPr>
      <w:r>
        <w:t>Password Management</w:t>
      </w:r>
    </w:p>
    <w:p>
      <w:pPr>
        <w:pStyle w:val="ListBullet"/>
        <w:spacing w:before="0" w:after="40"/>
      </w:pPr>
      <w:r>
        <w:t>Profile Picture Upload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12: SaaS Platform Settings</w:t>
      </w:r>
    </w:p>
    <w:p>
      <w:pPr>
        <w:spacing w:after="80"/>
      </w:pPr>
      <w:r>
        <w:rPr>
          <w:i/>
          <w:color w:val="4A5568"/>
        </w:rPr>
        <w:t>Customizable user preferences.</w:t>
      </w:r>
    </w:p>
    <w:p>
      <w:pPr>
        <w:spacing w:before="80" w:after="40"/>
      </w:pPr>
      <w:r>
        <w:rPr>
          <w:b/>
          <w:color w:val="1B365D"/>
        </w:rPr>
        <w:t>Settings Options</w:t>
      </w:r>
    </w:p>
    <w:p>
      <w:pPr>
        <w:pStyle w:val="ListBullet"/>
        <w:spacing w:before="0" w:after="40"/>
      </w:pPr>
      <w:r>
        <w:t>Interface Theme (Dark / Light Mode)</w:t>
      </w:r>
    </w:p>
    <w:p>
      <w:pPr>
        <w:pStyle w:val="ListBullet"/>
        <w:spacing w:before="0" w:after="40"/>
      </w:pPr>
      <w:r>
        <w:t>Notification Preferences</w:t>
      </w:r>
    </w:p>
    <w:p>
      <w:pPr>
        <w:pStyle w:val="ListBullet"/>
        <w:spacing w:before="0" w:after="40"/>
      </w:pPr>
      <w:r>
        <w:t>Localization / Language Selection</w:t>
      </w:r>
    </w:p>
    <w:p>
      <w:pPr>
        <w:pStyle w:val="ListBullet"/>
        <w:spacing w:before="0" w:after="40"/>
      </w:pPr>
      <w:r>
        <w:t>Developer API Key Management (Future Integration)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Phase 13: Admin Control Panel</w:t>
      </w:r>
    </w:p>
    <w:p>
      <w:pPr>
        <w:spacing w:after="80"/>
      </w:pPr>
      <w:r>
        <w:rPr>
          <w:i/>
          <w:color w:val="4A5568"/>
        </w:rPr>
        <w:t>Administrative and operational management tools.</w:t>
      </w:r>
    </w:p>
    <w:p>
      <w:pPr>
        <w:spacing w:before="80" w:after="40"/>
      </w:pPr>
      <w:r>
        <w:rPr>
          <w:b/>
          <w:color w:val="1B365D"/>
        </w:rPr>
        <w:t>Admin Operations</w:t>
      </w:r>
    </w:p>
    <w:p>
      <w:pPr>
        <w:pStyle w:val="ListBullet"/>
        <w:spacing w:before="0" w:after="40"/>
      </w:pPr>
      <w:r>
        <w:t>User Management &amp; Roles</w:t>
      </w:r>
    </w:p>
    <w:p>
      <w:pPr>
        <w:pStyle w:val="ListBullet"/>
        <w:spacing w:before="0" w:after="40"/>
      </w:pPr>
      <w:r>
        <w:t>Platform Usage Analytics</w:t>
      </w:r>
    </w:p>
    <w:p>
      <w:pPr>
        <w:pStyle w:val="ListBullet"/>
        <w:spacing w:before="0" w:after="40"/>
      </w:pPr>
      <w:r>
        <w:t>Deploy &amp; Update AI/Legal-BERT Models</w:t>
      </w:r>
    </w:p>
    <w:p>
      <w:pPr>
        <w:pStyle w:val="ListBullet"/>
        <w:spacing w:before="0" w:after="40"/>
      </w:pPr>
      <w:r>
        <w:t>Resource &amp; Traffic Monitoring</w:t>
      </w:r>
    </w:p>
    <w:p>
      <w:pPr>
        <w:pStyle w:val="ListBullet"/>
        <w:spacing w:before="0" w:after="40"/>
      </w:pPr>
      <w:r>
        <w:t>Audit Logs &amp; System Health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8080"/>
          <w:sz w:val="28"/>
        </w:rPr>
        <w:t>Future Enterprise Features</w:t>
      </w:r>
    </w:p>
    <w:p>
      <w:pPr>
        <w:spacing w:after="80"/>
      </w:pPr>
      <w:r>
        <w:rPr>
          <w:i/>
          <w:color w:val="4A5568"/>
        </w:rPr>
        <w:t>Advanced commercial functionality for scaling beyond B.Tech requirements.</w:t>
      </w:r>
    </w:p>
    <w:p>
      <w:pPr>
        <w:spacing w:before="80" w:after="40"/>
      </w:pPr>
      <w:r>
        <w:rPr>
          <w:b/>
          <w:color w:val="1B365D"/>
        </w:rPr>
        <w:t>Enterprise Modules</w:t>
      </w:r>
    </w:p>
    <w:p>
      <w:pPr>
        <w:pStyle w:val="ListBullet"/>
        <w:spacing w:before="0" w:after="40"/>
      </w:pPr>
      <w:r>
        <w:t>Multi-user Team Workspaces</w:t>
      </w:r>
    </w:p>
    <w:p>
      <w:pPr>
        <w:pStyle w:val="ListBullet"/>
        <w:spacing w:before="0" w:after="40"/>
      </w:pPr>
      <w:r>
        <w:t>Role-Based Access Control (RBAC: Developer, Legal Auditor, Admin)</w:t>
      </w:r>
    </w:p>
    <w:p>
      <w:pPr>
        <w:pStyle w:val="ListBullet"/>
        <w:spacing w:before="0" w:after="40"/>
      </w:pPr>
      <w:r>
        <w:t>GitHub Repository Integration (Automated analysis triggered on Pull Requests / Commits)</w:t>
      </w:r>
    </w:p>
    <w:p>
      <w:pPr>
        <w:pStyle w:val="ListBullet"/>
        <w:spacing w:before="0" w:after="40"/>
      </w:pPr>
      <w:r>
        <w:t>External REST API for third-party automated pipelines</w:t>
      </w:r>
    </w:p>
    <w:p>
      <w:pPr>
        <w:pStyle w:val="ListBullet"/>
        <w:spacing w:before="0" w:after="40"/>
      </w:pPr>
      <w:r>
        <w:t>CI/CD Security Gate Integration</w:t>
      </w:r>
    </w:p>
    <w:p>
      <w:pPr>
        <w:pStyle w:val="ListBullet"/>
        <w:spacing w:before="0" w:after="40"/>
      </w:pPr>
      <w:r>
        <w:t>Multi-chain language support (Vyper, Move, Rust, Solidity)</w:t>
      </w:r>
    </w:p>
    <w:p>
      <w:pPr>
        <w:pStyle w:val="ListBullet"/>
        <w:spacing w:before="0" w:after="40"/>
      </w:pPr>
      <w:r>
        <w:t>Multi-jurisdictional / Multi-language legal support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6"/>
        </w:rPr>
        <w:t>End-to-End User Flow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20"/>
              </w:rPr>
              <w:t>1. Visit Website ➔ 2. Register / Login ➔ 3. Access Dashboard ➔ 4. Initiate New Analysis ➔ 5. Upload / Paste Contract ➔ 6. AI Engine Processing ➔ 7. View Risk Dashboard ➔ 8. Inspect SHAP/LIME XAI ➔ 9. Query AI Assistant ➔ 10. Download Audit Report ➔ 11. View History &amp; Manage Settings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6"/>
        </w:rPr>
        <w:t>Recommended Implementation Milestones</w:t>
      </w:r>
    </w:p>
    <w:p>
      <w:pPr>
        <w:spacing w:after="200"/>
      </w:pPr>
      <w:r>
        <w:t>To ensure smooth development, the project is structured into three progressive milestones. This approach guarantees a working Minimum Viable Product early while laying a clear path for academic research rigor and enterprise product readiness.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Focus Area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Core Deliverables &amp; Features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Milestone 1</w:t>
              <w:br/>
              <w:t>(Minimum Viable Product)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i/>
                <w:color w:val="4A5568"/>
              </w:rPr>
              <w:t>Core Core Infrastructure &amp; Model Baseline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20"/>
            </w:pPr>
            <w:r>
              <w:rPr>
                <w:sz w:val="19"/>
              </w:rPr>
              <w:t>• Landing Page</w:t>
            </w:r>
          </w:p>
          <w:p>
            <w:pPr>
              <w:spacing w:before="0" w:after="20"/>
            </w:pPr>
            <w:r>
              <w:rPr>
                <w:sz w:val="19"/>
              </w:rPr>
              <w:t>• Login / Registration System</w:t>
            </w:r>
          </w:p>
          <w:p>
            <w:pPr>
              <w:spacing w:before="0" w:after="20"/>
            </w:pPr>
            <w:r>
              <w:rPr>
                <w:sz w:val="19"/>
              </w:rPr>
              <w:t>• User Dashboard</w:t>
            </w:r>
          </w:p>
          <w:p>
            <w:pPr>
              <w:spacing w:before="0" w:after="20"/>
            </w:pPr>
            <w:r>
              <w:rPr>
                <w:sz w:val="19"/>
              </w:rPr>
              <w:t>• Solidity Code Upload / Paste</w:t>
            </w:r>
          </w:p>
          <w:p>
            <w:pPr>
              <w:spacing w:before="0" w:after="20"/>
            </w:pPr>
            <w:r>
              <w:rPr>
                <w:sz w:val="19"/>
              </w:rPr>
              <w:t>• Legal-BERT Core Analysis Engine</w:t>
            </w:r>
          </w:p>
          <w:p>
            <w:pPr>
              <w:spacing w:before="0" w:after="20"/>
            </w:pPr>
            <w:r>
              <w:rPr>
                <w:sz w:val="19"/>
              </w:rPr>
              <w:t>• Standard Risk Summary Report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Milestone 2</w:t>
              <w:br/>
              <w:t>(Research Complete)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i/>
                <w:color w:val="4A5568"/>
              </w:rPr>
              <w:t>Explainable AI (XAI) &amp; Advanced Metrics</w:t>
            </w:r>
          </w:p>
        </w:tc>
        <w:tc>
          <w:tcPr>
            <w:tcW w:type="dxa" w:w="360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20"/>
            </w:pPr>
            <w:r>
              <w:rPr>
                <w:sz w:val="19"/>
              </w:rPr>
              <w:t>• SHAP Interpretability Visualization</w:t>
            </w:r>
          </w:p>
          <w:p>
            <w:pPr>
              <w:spacing w:before="0" w:after="20"/>
            </w:pPr>
            <w:r>
              <w:rPr>
                <w:sz w:val="19"/>
              </w:rPr>
              <w:t>• LIME Feature Attribution</w:t>
            </w:r>
          </w:p>
          <w:p>
            <w:pPr>
              <w:spacing w:before="0" w:after="20"/>
            </w:pPr>
            <w:r>
              <w:rPr>
                <w:sz w:val="19"/>
              </w:rPr>
              <w:t>• Color-coded Clause Highlighting</w:t>
            </w:r>
          </w:p>
          <w:p>
            <w:pPr>
              <w:spacing w:before="0" w:after="20"/>
            </w:pPr>
            <w:r>
              <w:rPr>
                <w:sz w:val="19"/>
              </w:rPr>
              <w:t>• Risk Categorization Engine</w:t>
            </w:r>
          </w:p>
          <w:p>
            <w:pPr>
              <w:spacing w:before="0" w:after="20"/>
            </w:pPr>
            <w:r>
              <w:rPr>
                <w:sz w:val="19"/>
              </w:rPr>
              <w:t>• Automated PDF Report Generation</w:t>
            </w:r>
          </w:p>
          <w:p>
            <w:pPr>
              <w:spacing w:before="0" w:after="20"/>
            </w:pPr>
            <w:r>
              <w:rPr>
                <w:sz w:val="19"/>
              </w:rPr>
              <w:t>• Analysis History &amp; Persistence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Milestone 3</w:t>
              <w:br/>
              <w:t>(Professional Product)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i/>
                <w:color w:val="4A5568"/>
              </w:rPr>
              <w:t>Enterprise Modules &amp; Conversational AI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20"/>
            </w:pPr>
            <w:r>
              <w:rPr>
                <w:sz w:val="19"/>
              </w:rPr>
              <w:t>• Context-Scoped AI Legal Assistant</w:t>
            </w:r>
          </w:p>
          <w:p>
            <w:pPr>
              <w:spacing w:before="0" w:after="20"/>
            </w:pPr>
            <w:r>
              <w:rPr>
                <w:sz w:val="19"/>
              </w:rPr>
              <w:t>• AI Automated Clause Rewriting</w:t>
            </w:r>
          </w:p>
          <w:p>
            <w:pPr>
              <w:spacing w:before="0" w:after="20"/>
            </w:pPr>
            <w:r>
              <w:rPr>
                <w:sz w:val="19"/>
              </w:rPr>
              <w:t>• Legal Compliance Scorecard</w:t>
            </w:r>
          </w:p>
          <w:p>
            <w:pPr>
              <w:spacing w:before="0" w:after="20"/>
            </w:pPr>
            <w:r>
              <w:rPr>
                <w:sz w:val="19"/>
              </w:rPr>
              <w:t>• Contract Version Comparison</w:t>
            </w:r>
          </w:p>
          <w:p>
            <w:pPr>
              <w:spacing w:before="0" w:after="20"/>
            </w:pPr>
            <w:r>
              <w:rPr>
                <w:sz w:val="19"/>
              </w:rPr>
              <w:t>• Multi-user Team Workspaces</w:t>
            </w:r>
          </w:p>
          <w:p>
            <w:pPr>
              <w:spacing w:before="0" w:after="20"/>
            </w:pPr>
            <w:r>
              <w:rPr>
                <w:sz w:val="19"/>
              </w:rPr>
              <w:t>• GitHub &amp; Admin Dashboard Integration</w:t>
            </w:r>
          </w:p>
        </w:tc>
      </w:tr>
    </w:tbl>
    <w:p/>
    <w:p>
      <w:pPr>
        <w:spacing w:before="240"/>
        <w:jc w:val="center"/>
      </w:pPr>
      <w:r>
        <w:rPr>
          <w:i/>
          <w:color w:val="4A5568"/>
          <w:sz w:val="19"/>
        </w:rPr>
        <w:t>This document provides the foundational specification for transforming your academic research project into an enterprise-grade AI SaaS platform.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