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8237D5" w14:textId="77777777" w:rsidR="00F55E19" w:rsidRDefault="00000000">
      <w:r>
        <w:rPr>
          <w:b/>
          <w:color w:val="0A1E3D"/>
          <w:sz w:val="52"/>
        </w:rPr>
        <w:t>AI in NeoEngage</w:t>
      </w:r>
    </w:p>
    <w:p w14:paraId="27A4A073" w14:textId="77777777" w:rsidR="00F55E19" w:rsidRDefault="00000000">
      <w:r>
        <w:rPr>
          <w:i/>
          <w:color w:val="4B5C74"/>
          <w:sz w:val="24"/>
        </w:rPr>
        <w:t>A working list of where AI could plug into the Client Engagement Tracker — ideas for discussion, not commitments.</w:t>
      </w:r>
    </w:p>
    <w:p w14:paraId="71AC2CD9" w14:textId="77777777" w:rsidR="00F55E19" w:rsidRDefault="00000000">
      <w:r>
        <w:rPr>
          <w:color w:val="8896AA"/>
          <w:sz w:val="18"/>
        </w:rPr>
        <w:t>Neovation · Internal  ·  FY 2026–27</w:t>
      </w:r>
    </w:p>
    <w:p w14:paraId="75416F33" w14:textId="77777777" w:rsidR="00F55E19" w:rsidRDefault="00F55E19"/>
    <w:p w14:paraId="6A53E6CB" w14:textId="77777777" w:rsidR="00F55E19" w:rsidRDefault="00000000">
      <w:r>
        <w:t>Every idea below is grounded in NeoEngage’s actual data model — Companies, Clients, Opportunities, Engagements, the 9-stage pipeline, the region/multi-currency setup, and the Custom Dashboard concept already scoped. Each one names exactly where in the tool it would show up and what it would do, not just “AI could help with X.” They’re grouped loosely by theme, roughly ordered from most immediately practical to most ambitious.</w:t>
      </w:r>
    </w:p>
    <w:p w14:paraId="2FC9EFE9" w14:textId="77777777" w:rsidR="00F55E19" w:rsidRDefault="00F55E19"/>
    <w:p w14:paraId="71058247" w14:textId="77777777" w:rsidR="00F55E19" w:rsidRDefault="00000000">
      <w:r>
        <w:rPr>
          <w:b/>
          <w:color w:val="0A1E3D"/>
          <w:sz w:val="28"/>
        </w:rPr>
        <w:t>At a glance</w:t>
      </w:r>
    </w:p>
    <w:tbl>
      <w:tblPr>
        <w:tblStyle w:val="TableGrid"/>
        <w:tblW w:w="0" w:type="auto"/>
        <w:tblLook w:val="04A0" w:firstRow="1" w:lastRow="0" w:firstColumn="1" w:lastColumn="0" w:noHBand="0" w:noVBand="1"/>
      </w:tblPr>
      <w:tblGrid>
        <w:gridCol w:w="2880"/>
        <w:gridCol w:w="2880"/>
        <w:gridCol w:w="2880"/>
      </w:tblGrid>
      <w:tr w:rsidR="00F55E19" w14:paraId="0DD31345" w14:textId="77777777">
        <w:tc>
          <w:tcPr>
            <w:tcW w:w="2880" w:type="dxa"/>
            <w:shd w:val="clear" w:color="auto" w:fill="0A1E3D"/>
          </w:tcPr>
          <w:p w14:paraId="7B63C651" w14:textId="77777777" w:rsidR="00F55E19" w:rsidRDefault="00000000">
            <w:r>
              <w:rPr>
                <w:b/>
                <w:color w:val="FFFFFF"/>
                <w:sz w:val="19"/>
              </w:rPr>
              <w:t>Use case</w:t>
            </w:r>
          </w:p>
        </w:tc>
        <w:tc>
          <w:tcPr>
            <w:tcW w:w="2880" w:type="dxa"/>
            <w:shd w:val="clear" w:color="auto" w:fill="0A1E3D"/>
          </w:tcPr>
          <w:p w14:paraId="3DBBFA40" w14:textId="77777777" w:rsidR="00F55E19" w:rsidRDefault="00000000">
            <w:r>
              <w:rPr>
                <w:b/>
                <w:color w:val="FFFFFF"/>
                <w:sz w:val="19"/>
              </w:rPr>
              <w:t>Category</w:t>
            </w:r>
          </w:p>
        </w:tc>
        <w:tc>
          <w:tcPr>
            <w:tcW w:w="2880" w:type="dxa"/>
            <w:shd w:val="clear" w:color="auto" w:fill="0A1E3D"/>
          </w:tcPr>
          <w:p w14:paraId="6F7C4795" w14:textId="77777777" w:rsidR="00F55E19" w:rsidRDefault="00000000">
            <w:r>
              <w:rPr>
                <w:b/>
                <w:color w:val="FFFFFF"/>
                <w:sz w:val="19"/>
              </w:rPr>
              <w:t>Rough build effort</w:t>
            </w:r>
          </w:p>
        </w:tc>
      </w:tr>
      <w:tr w:rsidR="00F55E19" w14:paraId="43E303D5" w14:textId="77777777">
        <w:tc>
          <w:tcPr>
            <w:tcW w:w="2880" w:type="dxa"/>
          </w:tcPr>
          <w:p w14:paraId="75970685" w14:textId="77777777" w:rsidR="00F55E19" w:rsidRDefault="00000000">
            <w:pPr>
              <w:spacing w:after="40"/>
            </w:pPr>
            <w:r>
              <w:rPr>
                <w:sz w:val="19"/>
              </w:rPr>
              <w:t>Opportunity Scout</w:t>
            </w:r>
          </w:p>
        </w:tc>
        <w:tc>
          <w:tcPr>
            <w:tcW w:w="2880" w:type="dxa"/>
          </w:tcPr>
          <w:p w14:paraId="3DE20EF5" w14:textId="77777777" w:rsidR="00F55E19" w:rsidRDefault="00000000">
            <w:pPr>
              <w:spacing w:after="40"/>
            </w:pPr>
            <w:r>
              <w:rPr>
                <w:sz w:val="19"/>
              </w:rPr>
              <w:t>Finding Opportunities</w:t>
            </w:r>
          </w:p>
        </w:tc>
        <w:tc>
          <w:tcPr>
            <w:tcW w:w="2880" w:type="dxa"/>
          </w:tcPr>
          <w:p w14:paraId="2464A38C" w14:textId="77777777" w:rsidR="00F55E19" w:rsidRDefault="00000000">
            <w:pPr>
              <w:spacing w:after="40"/>
            </w:pPr>
            <w:r>
              <w:rPr>
                <w:b/>
                <w:color w:val="C0442C"/>
                <w:sz w:val="19"/>
              </w:rPr>
              <w:t>High</w:t>
            </w:r>
          </w:p>
        </w:tc>
      </w:tr>
      <w:tr w:rsidR="00F55E19" w14:paraId="464D8B17" w14:textId="77777777">
        <w:tc>
          <w:tcPr>
            <w:tcW w:w="2880" w:type="dxa"/>
          </w:tcPr>
          <w:p w14:paraId="7716D146" w14:textId="77777777" w:rsidR="00F55E19" w:rsidRDefault="00000000">
            <w:pPr>
              <w:spacing w:after="40"/>
            </w:pPr>
            <w:r>
              <w:rPr>
                <w:sz w:val="19"/>
              </w:rPr>
              <w:t>Champion Job-Change Alerts</w:t>
            </w:r>
          </w:p>
        </w:tc>
        <w:tc>
          <w:tcPr>
            <w:tcW w:w="2880" w:type="dxa"/>
          </w:tcPr>
          <w:p w14:paraId="416774E6" w14:textId="77777777" w:rsidR="00F55E19" w:rsidRDefault="00000000">
            <w:pPr>
              <w:spacing w:after="40"/>
            </w:pPr>
            <w:r>
              <w:rPr>
                <w:sz w:val="19"/>
              </w:rPr>
              <w:t>Finding Opportunities</w:t>
            </w:r>
          </w:p>
        </w:tc>
        <w:tc>
          <w:tcPr>
            <w:tcW w:w="2880" w:type="dxa"/>
          </w:tcPr>
          <w:p w14:paraId="38FC68CE" w14:textId="77777777" w:rsidR="00F55E19" w:rsidRDefault="00000000">
            <w:pPr>
              <w:spacing w:after="40"/>
            </w:pPr>
            <w:r>
              <w:rPr>
                <w:b/>
                <w:color w:val="C77A1F"/>
                <w:sz w:val="19"/>
              </w:rPr>
              <w:t>Medium</w:t>
            </w:r>
          </w:p>
        </w:tc>
      </w:tr>
      <w:tr w:rsidR="00F55E19" w14:paraId="71D4E73A" w14:textId="77777777">
        <w:tc>
          <w:tcPr>
            <w:tcW w:w="2880" w:type="dxa"/>
          </w:tcPr>
          <w:p w14:paraId="27DDCC8C" w14:textId="77777777" w:rsidR="00F55E19" w:rsidRDefault="00000000">
            <w:pPr>
              <w:spacing w:after="40"/>
            </w:pPr>
            <w:r>
              <w:rPr>
                <w:sz w:val="19"/>
              </w:rPr>
              <w:t>Competitive Signal Watch</w:t>
            </w:r>
          </w:p>
        </w:tc>
        <w:tc>
          <w:tcPr>
            <w:tcW w:w="2880" w:type="dxa"/>
          </w:tcPr>
          <w:p w14:paraId="02FCCC83" w14:textId="77777777" w:rsidR="00F55E19" w:rsidRDefault="00000000">
            <w:pPr>
              <w:spacing w:after="40"/>
            </w:pPr>
            <w:r>
              <w:rPr>
                <w:sz w:val="19"/>
              </w:rPr>
              <w:t>Finding Opportunities</w:t>
            </w:r>
          </w:p>
        </w:tc>
        <w:tc>
          <w:tcPr>
            <w:tcW w:w="2880" w:type="dxa"/>
          </w:tcPr>
          <w:p w14:paraId="373E732A" w14:textId="77777777" w:rsidR="00F55E19" w:rsidRDefault="00000000">
            <w:pPr>
              <w:spacing w:after="40"/>
            </w:pPr>
            <w:r>
              <w:rPr>
                <w:b/>
                <w:color w:val="C0442C"/>
                <w:sz w:val="19"/>
              </w:rPr>
              <w:t>High</w:t>
            </w:r>
          </w:p>
        </w:tc>
      </w:tr>
      <w:tr w:rsidR="00F55E19" w14:paraId="67749D5F" w14:textId="77777777">
        <w:tc>
          <w:tcPr>
            <w:tcW w:w="2880" w:type="dxa"/>
          </w:tcPr>
          <w:p w14:paraId="0FB78C2B" w14:textId="77777777" w:rsidR="00F55E19" w:rsidRDefault="00000000">
            <w:pPr>
              <w:spacing w:after="40"/>
            </w:pPr>
            <w:r>
              <w:rPr>
                <w:sz w:val="19"/>
              </w:rPr>
              <w:t>Meeting Notes to Structured Engagement</w:t>
            </w:r>
          </w:p>
        </w:tc>
        <w:tc>
          <w:tcPr>
            <w:tcW w:w="2880" w:type="dxa"/>
          </w:tcPr>
          <w:p w14:paraId="0F88F6E9" w14:textId="77777777" w:rsidR="00F55E19" w:rsidRDefault="00000000">
            <w:pPr>
              <w:spacing w:after="40"/>
            </w:pPr>
            <w:r>
              <w:rPr>
                <w:sz w:val="19"/>
              </w:rPr>
              <w:t>Effortless Data Entry</w:t>
            </w:r>
          </w:p>
        </w:tc>
        <w:tc>
          <w:tcPr>
            <w:tcW w:w="2880" w:type="dxa"/>
          </w:tcPr>
          <w:p w14:paraId="1474FF58" w14:textId="77777777" w:rsidR="00F55E19" w:rsidRDefault="00000000">
            <w:pPr>
              <w:spacing w:after="40"/>
            </w:pPr>
            <w:r>
              <w:rPr>
                <w:b/>
                <w:color w:val="C77A1F"/>
                <w:sz w:val="19"/>
              </w:rPr>
              <w:t>Medium</w:t>
            </w:r>
          </w:p>
        </w:tc>
      </w:tr>
      <w:tr w:rsidR="00F55E19" w14:paraId="1C123EA1" w14:textId="77777777">
        <w:tc>
          <w:tcPr>
            <w:tcW w:w="2880" w:type="dxa"/>
          </w:tcPr>
          <w:p w14:paraId="7FC62D82" w14:textId="77777777" w:rsidR="00F55E19" w:rsidRDefault="00000000">
            <w:pPr>
              <w:spacing w:after="40"/>
            </w:pPr>
            <w:r>
              <w:rPr>
                <w:sz w:val="19"/>
              </w:rPr>
              <w:t>Inbox-to-Engagement Sync</w:t>
            </w:r>
          </w:p>
        </w:tc>
        <w:tc>
          <w:tcPr>
            <w:tcW w:w="2880" w:type="dxa"/>
          </w:tcPr>
          <w:p w14:paraId="70CCD8EC" w14:textId="77777777" w:rsidR="00F55E19" w:rsidRDefault="00000000">
            <w:pPr>
              <w:spacing w:after="40"/>
            </w:pPr>
            <w:r>
              <w:rPr>
                <w:sz w:val="19"/>
              </w:rPr>
              <w:t>Effortless Data Entry</w:t>
            </w:r>
          </w:p>
        </w:tc>
        <w:tc>
          <w:tcPr>
            <w:tcW w:w="2880" w:type="dxa"/>
          </w:tcPr>
          <w:p w14:paraId="7DAAC9F2" w14:textId="77777777" w:rsidR="00F55E19" w:rsidRDefault="00000000">
            <w:pPr>
              <w:spacing w:after="40"/>
            </w:pPr>
            <w:r>
              <w:rPr>
                <w:b/>
                <w:color w:val="C0442C"/>
                <w:sz w:val="19"/>
              </w:rPr>
              <w:t>High</w:t>
            </w:r>
          </w:p>
        </w:tc>
      </w:tr>
      <w:tr w:rsidR="00F55E19" w14:paraId="4CC3B1BC" w14:textId="77777777">
        <w:tc>
          <w:tcPr>
            <w:tcW w:w="2880" w:type="dxa"/>
          </w:tcPr>
          <w:p w14:paraId="02F967C1" w14:textId="77777777" w:rsidR="00F55E19" w:rsidRDefault="00000000">
            <w:pPr>
              <w:spacing w:after="40"/>
            </w:pPr>
            <w:r>
              <w:rPr>
                <w:sz w:val="19"/>
              </w:rPr>
              <w:t>Voice Memo Logging</w:t>
            </w:r>
          </w:p>
        </w:tc>
        <w:tc>
          <w:tcPr>
            <w:tcW w:w="2880" w:type="dxa"/>
          </w:tcPr>
          <w:p w14:paraId="350E129B" w14:textId="77777777" w:rsidR="00F55E19" w:rsidRDefault="00000000">
            <w:pPr>
              <w:spacing w:after="40"/>
            </w:pPr>
            <w:r>
              <w:rPr>
                <w:sz w:val="19"/>
              </w:rPr>
              <w:t>Effortless Data Entry</w:t>
            </w:r>
          </w:p>
        </w:tc>
        <w:tc>
          <w:tcPr>
            <w:tcW w:w="2880" w:type="dxa"/>
          </w:tcPr>
          <w:p w14:paraId="77ECA6B0" w14:textId="77777777" w:rsidR="00F55E19" w:rsidRDefault="00000000">
            <w:pPr>
              <w:spacing w:after="40"/>
            </w:pPr>
            <w:r>
              <w:rPr>
                <w:b/>
                <w:color w:val="C77A1F"/>
                <w:sz w:val="19"/>
              </w:rPr>
              <w:t>Medium</w:t>
            </w:r>
          </w:p>
        </w:tc>
      </w:tr>
      <w:tr w:rsidR="00F55E19" w14:paraId="7F1AA800" w14:textId="77777777">
        <w:tc>
          <w:tcPr>
            <w:tcW w:w="2880" w:type="dxa"/>
          </w:tcPr>
          <w:p w14:paraId="0A86669F" w14:textId="77777777" w:rsidR="00F55E19" w:rsidRDefault="00000000">
            <w:pPr>
              <w:spacing w:after="40"/>
            </w:pPr>
            <w:r>
              <w:rPr>
                <w:sz w:val="19"/>
              </w:rPr>
              <w:t>Deal Risk and Staleness Alerts</w:t>
            </w:r>
          </w:p>
        </w:tc>
        <w:tc>
          <w:tcPr>
            <w:tcW w:w="2880" w:type="dxa"/>
          </w:tcPr>
          <w:p w14:paraId="611B95C3" w14:textId="77777777" w:rsidR="00F55E19" w:rsidRDefault="00000000">
            <w:pPr>
              <w:spacing w:after="40"/>
            </w:pPr>
            <w:r>
              <w:rPr>
                <w:sz w:val="19"/>
              </w:rPr>
              <w:t>Pipeline Intelligence</w:t>
            </w:r>
          </w:p>
        </w:tc>
        <w:tc>
          <w:tcPr>
            <w:tcW w:w="2880" w:type="dxa"/>
          </w:tcPr>
          <w:p w14:paraId="7A4D35EC" w14:textId="77777777" w:rsidR="00F55E19" w:rsidRDefault="00000000">
            <w:pPr>
              <w:spacing w:after="40"/>
            </w:pPr>
            <w:r>
              <w:rPr>
                <w:b/>
                <w:color w:val="2E8B57"/>
                <w:sz w:val="19"/>
              </w:rPr>
              <w:t>Low</w:t>
            </w:r>
          </w:p>
        </w:tc>
      </w:tr>
      <w:tr w:rsidR="00F55E19" w14:paraId="014ED62E" w14:textId="77777777">
        <w:tc>
          <w:tcPr>
            <w:tcW w:w="2880" w:type="dxa"/>
          </w:tcPr>
          <w:p w14:paraId="3CABFF36" w14:textId="77777777" w:rsidR="00F55E19" w:rsidRDefault="00000000">
            <w:pPr>
              <w:spacing w:after="40"/>
            </w:pPr>
            <w:r>
              <w:rPr>
                <w:sz w:val="19"/>
              </w:rPr>
              <w:t>AI-Assisted Win Probability</w:t>
            </w:r>
          </w:p>
        </w:tc>
        <w:tc>
          <w:tcPr>
            <w:tcW w:w="2880" w:type="dxa"/>
          </w:tcPr>
          <w:p w14:paraId="2D6A9428" w14:textId="77777777" w:rsidR="00F55E19" w:rsidRDefault="00000000">
            <w:pPr>
              <w:spacing w:after="40"/>
            </w:pPr>
            <w:r>
              <w:rPr>
                <w:sz w:val="19"/>
              </w:rPr>
              <w:t>Pipeline Intelligence</w:t>
            </w:r>
          </w:p>
        </w:tc>
        <w:tc>
          <w:tcPr>
            <w:tcW w:w="2880" w:type="dxa"/>
          </w:tcPr>
          <w:p w14:paraId="6CC29EB1" w14:textId="77777777" w:rsidR="00F55E19" w:rsidRDefault="00000000">
            <w:pPr>
              <w:spacing w:after="40"/>
            </w:pPr>
            <w:r>
              <w:rPr>
                <w:b/>
                <w:color w:val="C0442C"/>
                <w:sz w:val="19"/>
              </w:rPr>
              <w:t>High</w:t>
            </w:r>
          </w:p>
        </w:tc>
      </w:tr>
      <w:tr w:rsidR="00F55E19" w14:paraId="2954B379" w14:textId="77777777">
        <w:tc>
          <w:tcPr>
            <w:tcW w:w="2880" w:type="dxa"/>
          </w:tcPr>
          <w:p w14:paraId="487B4926" w14:textId="77777777" w:rsidR="00F55E19" w:rsidRDefault="00000000">
            <w:pPr>
              <w:spacing w:after="40"/>
            </w:pPr>
            <w:r>
              <w:rPr>
                <w:sz w:val="19"/>
              </w:rPr>
              <w:t>Next-Best-Action Suggestions</w:t>
            </w:r>
          </w:p>
        </w:tc>
        <w:tc>
          <w:tcPr>
            <w:tcW w:w="2880" w:type="dxa"/>
          </w:tcPr>
          <w:p w14:paraId="3CB2179D" w14:textId="77777777" w:rsidR="00F55E19" w:rsidRDefault="00000000">
            <w:pPr>
              <w:spacing w:after="40"/>
            </w:pPr>
            <w:r>
              <w:rPr>
                <w:sz w:val="19"/>
              </w:rPr>
              <w:t>Pipeline Intelligence</w:t>
            </w:r>
          </w:p>
        </w:tc>
        <w:tc>
          <w:tcPr>
            <w:tcW w:w="2880" w:type="dxa"/>
          </w:tcPr>
          <w:p w14:paraId="1740BB0E" w14:textId="77777777" w:rsidR="00F55E19" w:rsidRDefault="00000000">
            <w:pPr>
              <w:spacing w:after="40"/>
            </w:pPr>
            <w:r>
              <w:rPr>
                <w:b/>
                <w:color w:val="C77A1F"/>
                <w:sz w:val="19"/>
              </w:rPr>
              <w:t>Medium</w:t>
            </w:r>
          </w:p>
        </w:tc>
      </w:tr>
      <w:tr w:rsidR="00F55E19" w14:paraId="641D8368" w14:textId="77777777">
        <w:tc>
          <w:tcPr>
            <w:tcW w:w="2880" w:type="dxa"/>
          </w:tcPr>
          <w:p w14:paraId="3175E2F4" w14:textId="77777777" w:rsidR="00F55E19" w:rsidRDefault="00000000">
            <w:pPr>
              <w:spacing w:after="40"/>
            </w:pPr>
            <w:r>
              <w:rPr>
                <w:sz w:val="19"/>
              </w:rPr>
              <w:t>Company Auto-Enrichment</w:t>
            </w:r>
          </w:p>
        </w:tc>
        <w:tc>
          <w:tcPr>
            <w:tcW w:w="2880" w:type="dxa"/>
          </w:tcPr>
          <w:p w14:paraId="129074BF" w14:textId="77777777" w:rsidR="00F55E19" w:rsidRDefault="00000000">
            <w:pPr>
              <w:spacing w:after="40"/>
            </w:pPr>
            <w:r>
              <w:rPr>
                <w:sz w:val="19"/>
              </w:rPr>
              <w:t>Company and Contact Intelligence</w:t>
            </w:r>
          </w:p>
        </w:tc>
        <w:tc>
          <w:tcPr>
            <w:tcW w:w="2880" w:type="dxa"/>
          </w:tcPr>
          <w:p w14:paraId="4ADB8F83" w14:textId="77777777" w:rsidR="00F55E19" w:rsidRDefault="00000000">
            <w:pPr>
              <w:spacing w:after="40"/>
            </w:pPr>
            <w:r>
              <w:rPr>
                <w:b/>
                <w:color w:val="C77A1F"/>
                <w:sz w:val="19"/>
              </w:rPr>
              <w:t>Medium</w:t>
            </w:r>
          </w:p>
        </w:tc>
      </w:tr>
      <w:tr w:rsidR="00F55E19" w14:paraId="487547D2" w14:textId="77777777">
        <w:tc>
          <w:tcPr>
            <w:tcW w:w="2880" w:type="dxa"/>
          </w:tcPr>
          <w:p w14:paraId="5B471F6C" w14:textId="77777777" w:rsidR="00F55E19" w:rsidRDefault="00000000">
            <w:pPr>
              <w:spacing w:after="40"/>
            </w:pPr>
            <w:r>
              <w:rPr>
                <w:sz w:val="19"/>
              </w:rPr>
              <w:t>Health Score Co-Pilot</w:t>
            </w:r>
          </w:p>
        </w:tc>
        <w:tc>
          <w:tcPr>
            <w:tcW w:w="2880" w:type="dxa"/>
          </w:tcPr>
          <w:p w14:paraId="528D48A0" w14:textId="77777777" w:rsidR="00F55E19" w:rsidRDefault="00000000">
            <w:pPr>
              <w:spacing w:after="40"/>
            </w:pPr>
            <w:r>
              <w:rPr>
                <w:sz w:val="19"/>
              </w:rPr>
              <w:t>Company and Contact Intelligence</w:t>
            </w:r>
          </w:p>
        </w:tc>
        <w:tc>
          <w:tcPr>
            <w:tcW w:w="2880" w:type="dxa"/>
          </w:tcPr>
          <w:p w14:paraId="11280C87" w14:textId="77777777" w:rsidR="00F55E19" w:rsidRDefault="00000000">
            <w:pPr>
              <w:spacing w:after="40"/>
            </w:pPr>
            <w:r>
              <w:rPr>
                <w:b/>
                <w:color w:val="C77A1F"/>
                <w:sz w:val="19"/>
              </w:rPr>
              <w:t>Medium</w:t>
            </w:r>
          </w:p>
        </w:tc>
      </w:tr>
      <w:tr w:rsidR="00F55E19" w14:paraId="15935F00" w14:textId="77777777">
        <w:tc>
          <w:tcPr>
            <w:tcW w:w="2880" w:type="dxa"/>
          </w:tcPr>
          <w:p w14:paraId="565126A5" w14:textId="77777777" w:rsidR="00F55E19" w:rsidRDefault="00000000">
            <w:pPr>
              <w:spacing w:after="40"/>
            </w:pPr>
            <w:r>
              <w:rPr>
                <w:sz w:val="19"/>
              </w:rPr>
              <w:t>Stakeholder Map Suggestions</w:t>
            </w:r>
          </w:p>
        </w:tc>
        <w:tc>
          <w:tcPr>
            <w:tcW w:w="2880" w:type="dxa"/>
          </w:tcPr>
          <w:p w14:paraId="02445C3D" w14:textId="77777777" w:rsidR="00F55E19" w:rsidRDefault="00000000">
            <w:pPr>
              <w:spacing w:after="40"/>
            </w:pPr>
            <w:r>
              <w:rPr>
                <w:sz w:val="19"/>
              </w:rPr>
              <w:t>Company and Contact Intelligence</w:t>
            </w:r>
          </w:p>
        </w:tc>
        <w:tc>
          <w:tcPr>
            <w:tcW w:w="2880" w:type="dxa"/>
          </w:tcPr>
          <w:p w14:paraId="139350E7" w14:textId="77777777" w:rsidR="00F55E19" w:rsidRDefault="00000000">
            <w:pPr>
              <w:spacing w:after="40"/>
            </w:pPr>
            <w:r>
              <w:rPr>
                <w:b/>
                <w:color w:val="C77A1F"/>
                <w:sz w:val="19"/>
              </w:rPr>
              <w:t>Medium</w:t>
            </w:r>
          </w:p>
        </w:tc>
      </w:tr>
      <w:tr w:rsidR="00F55E19" w14:paraId="015FB7AD" w14:textId="77777777">
        <w:tc>
          <w:tcPr>
            <w:tcW w:w="2880" w:type="dxa"/>
          </w:tcPr>
          <w:p w14:paraId="51B04C81" w14:textId="77777777" w:rsidR="00F55E19" w:rsidRDefault="00000000">
            <w:pPr>
              <w:spacing w:after="40"/>
            </w:pPr>
            <w:r>
              <w:rPr>
                <w:sz w:val="19"/>
              </w:rPr>
              <w:t>Ask NeoEngage (chat over your data)</w:t>
            </w:r>
          </w:p>
        </w:tc>
        <w:tc>
          <w:tcPr>
            <w:tcW w:w="2880" w:type="dxa"/>
          </w:tcPr>
          <w:p w14:paraId="7373D1F8" w14:textId="77777777" w:rsidR="00F55E19" w:rsidRDefault="00000000">
            <w:pPr>
              <w:spacing w:after="40"/>
            </w:pPr>
            <w:r>
              <w:rPr>
                <w:sz w:val="19"/>
              </w:rPr>
              <w:t>Natural-Language Reporting</w:t>
            </w:r>
          </w:p>
        </w:tc>
        <w:tc>
          <w:tcPr>
            <w:tcW w:w="2880" w:type="dxa"/>
          </w:tcPr>
          <w:p w14:paraId="3D4B0085" w14:textId="77777777" w:rsidR="00F55E19" w:rsidRDefault="00000000">
            <w:pPr>
              <w:spacing w:after="40"/>
            </w:pPr>
            <w:r>
              <w:rPr>
                <w:b/>
                <w:color w:val="C0442C"/>
                <w:sz w:val="19"/>
              </w:rPr>
              <w:t>High</w:t>
            </w:r>
          </w:p>
        </w:tc>
      </w:tr>
      <w:tr w:rsidR="00F55E19" w14:paraId="718D8676" w14:textId="77777777">
        <w:tc>
          <w:tcPr>
            <w:tcW w:w="2880" w:type="dxa"/>
          </w:tcPr>
          <w:p w14:paraId="501614A7" w14:textId="77777777" w:rsidR="00F55E19" w:rsidRDefault="00000000">
            <w:pPr>
              <w:spacing w:after="40"/>
            </w:pPr>
            <w:r>
              <w:rPr>
                <w:sz w:val="19"/>
              </w:rPr>
              <w:t>English-to-Custom-Dashboard</w:t>
            </w:r>
          </w:p>
        </w:tc>
        <w:tc>
          <w:tcPr>
            <w:tcW w:w="2880" w:type="dxa"/>
          </w:tcPr>
          <w:p w14:paraId="7A233C55" w14:textId="77777777" w:rsidR="00F55E19" w:rsidRDefault="00000000">
            <w:pPr>
              <w:spacing w:after="40"/>
            </w:pPr>
            <w:r>
              <w:rPr>
                <w:sz w:val="19"/>
              </w:rPr>
              <w:t>Natural-Language Reporting</w:t>
            </w:r>
          </w:p>
        </w:tc>
        <w:tc>
          <w:tcPr>
            <w:tcW w:w="2880" w:type="dxa"/>
          </w:tcPr>
          <w:p w14:paraId="34CE833D" w14:textId="77777777" w:rsidR="00F55E19" w:rsidRDefault="00000000">
            <w:pPr>
              <w:spacing w:after="40"/>
            </w:pPr>
            <w:r>
              <w:rPr>
                <w:b/>
                <w:color w:val="C77A1F"/>
                <w:sz w:val="19"/>
              </w:rPr>
              <w:t>Medium</w:t>
            </w:r>
          </w:p>
        </w:tc>
      </w:tr>
      <w:tr w:rsidR="00F55E19" w14:paraId="65FABE1C" w14:textId="77777777">
        <w:tc>
          <w:tcPr>
            <w:tcW w:w="2880" w:type="dxa"/>
          </w:tcPr>
          <w:p w14:paraId="5D6C4BC2" w14:textId="77777777" w:rsidR="00F55E19" w:rsidRDefault="00000000">
            <w:pPr>
              <w:spacing w:after="40"/>
            </w:pPr>
            <w:r>
              <w:rPr>
                <w:sz w:val="19"/>
              </w:rPr>
              <w:t>Auto-Drafted Exec Digest</w:t>
            </w:r>
          </w:p>
        </w:tc>
        <w:tc>
          <w:tcPr>
            <w:tcW w:w="2880" w:type="dxa"/>
          </w:tcPr>
          <w:p w14:paraId="1EA34B16" w14:textId="77777777" w:rsidR="00F55E19" w:rsidRDefault="00000000">
            <w:pPr>
              <w:spacing w:after="40"/>
            </w:pPr>
            <w:r>
              <w:rPr>
                <w:sz w:val="19"/>
              </w:rPr>
              <w:t>Natural-Language Reporting</w:t>
            </w:r>
          </w:p>
        </w:tc>
        <w:tc>
          <w:tcPr>
            <w:tcW w:w="2880" w:type="dxa"/>
          </w:tcPr>
          <w:p w14:paraId="79845D43" w14:textId="77777777" w:rsidR="00F55E19" w:rsidRDefault="00000000">
            <w:pPr>
              <w:spacing w:after="40"/>
            </w:pPr>
            <w:r>
              <w:rPr>
                <w:b/>
                <w:color w:val="C77A1F"/>
                <w:sz w:val="19"/>
              </w:rPr>
              <w:t>Medium</w:t>
            </w:r>
          </w:p>
        </w:tc>
      </w:tr>
      <w:tr w:rsidR="00F55E19" w14:paraId="27B3A4ED" w14:textId="77777777">
        <w:tc>
          <w:tcPr>
            <w:tcW w:w="2880" w:type="dxa"/>
          </w:tcPr>
          <w:p w14:paraId="5F5C323A" w14:textId="77777777" w:rsidR="00F55E19" w:rsidRDefault="00000000">
            <w:pPr>
              <w:spacing w:after="40"/>
            </w:pPr>
            <w:r>
              <w:rPr>
                <w:sz w:val="19"/>
              </w:rPr>
              <w:t>Proposal First-Draft Generator</w:t>
            </w:r>
          </w:p>
        </w:tc>
        <w:tc>
          <w:tcPr>
            <w:tcW w:w="2880" w:type="dxa"/>
          </w:tcPr>
          <w:p w14:paraId="6EFFD726" w14:textId="77777777" w:rsidR="00F55E19" w:rsidRDefault="00000000">
            <w:pPr>
              <w:spacing w:after="40"/>
            </w:pPr>
            <w:r>
              <w:rPr>
                <w:sz w:val="19"/>
              </w:rPr>
              <w:t>Auto-Generated Documents</w:t>
            </w:r>
          </w:p>
        </w:tc>
        <w:tc>
          <w:tcPr>
            <w:tcW w:w="2880" w:type="dxa"/>
          </w:tcPr>
          <w:p w14:paraId="67EDC536" w14:textId="77777777" w:rsidR="00F55E19" w:rsidRDefault="00000000">
            <w:pPr>
              <w:spacing w:after="40"/>
            </w:pPr>
            <w:r>
              <w:rPr>
                <w:b/>
                <w:color w:val="C77A1F"/>
                <w:sz w:val="19"/>
              </w:rPr>
              <w:t>Medium</w:t>
            </w:r>
          </w:p>
        </w:tc>
      </w:tr>
      <w:tr w:rsidR="00F55E19" w14:paraId="2D81E0F5" w14:textId="77777777">
        <w:tc>
          <w:tcPr>
            <w:tcW w:w="2880" w:type="dxa"/>
          </w:tcPr>
          <w:p w14:paraId="31CAD8B0" w14:textId="77777777" w:rsidR="00F55E19" w:rsidRDefault="00000000">
            <w:pPr>
              <w:spacing w:after="40"/>
            </w:pPr>
            <w:r>
              <w:rPr>
                <w:sz w:val="19"/>
              </w:rPr>
              <w:t>Meeting Prep Brief</w:t>
            </w:r>
          </w:p>
        </w:tc>
        <w:tc>
          <w:tcPr>
            <w:tcW w:w="2880" w:type="dxa"/>
          </w:tcPr>
          <w:p w14:paraId="4DE7A171" w14:textId="77777777" w:rsidR="00F55E19" w:rsidRDefault="00000000">
            <w:pPr>
              <w:spacing w:after="40"/>
            </w:pPr>
            <w:r>
              <w:rPr>
                <w:sz w:val="19"/>
              </w:rPr>
              <w:t>Auto-Generated Documents</w:t>
            </w:r>
          </w:p>
        </w:tc>
        <w:tc>
          <w:tcPr>
            <w:tcW w:w="2880" w:type="dxa"/>
          </w:tcPr>
          <w:p w14:paraId="4A294D28" w14:textId="77777777" w:rsidR="00F55E19" w:rsidRDefault="00000000">
            <w:pPr>
              <w:spacing w:after="40"/>
            </w:pPr>
            <w:r>
              <w:rPr>
                <w:b/>
                <w:color w:val="2E8B57"/>
                <w:sz w:val="19"/>
              </w:rPr>
              <w:t>Low</w:t>
            </w:r>
          </w:p>
        </w:tc>
      </w:tr>
      <w:tr w:rsidR="00F55E19" w14:paraId="289C7302" w14:textId="77777777">
        <w:tc>
          <w:tcPr>
            <w:tcW w:w="2880" w:type="dxa"/>
          </w:tcPr>
          <w:p w14:paraId="6A9FE048" w14:textId="77777777" w:rsidR="00F55E19" w:rsidRDefault="00000000">
            <w:pPr>
              <w:spacing w:after="40"/>
            </w:pPr>
            <w:r>
              <w:rPr>
                <w:sz w:val="19"/>
              </w:rPr>
              <w:t>Auto-Generated QBR Deck</w:t>
            </w:r>
          </w:p>
        </w:tc>
        <w:tc>
          <w:tcPr>
            <w:tcW w:w="2880" w:type="dxa"/>
          </w:tcPr>
          <w:p w14:paraId="126C1CBA" w14:textId="77777777" w:rsidR="00F55E19" w:rsidRDefault="00000000">
            <w:pPr>
              <w:spacing w:after="40"/>
            </w:pPr>
            <w:r>
              <w:rPr>
                <w:sz w:val="19"/>
              </w:rPr>
              <w:t>Auto-Generated Documents</w:t>
            </w:r>
          </w:p>
        </w:tc>
        <w:tc>
          <w:tcPr>
            <w:tcW w:w="2880" w:type="dxa"/>
          </w:tcPr>
          <w:p w14:paraId="5896B4A1" w14:textId="77777777" w:rsidR="00F55E19" w:rsidRDefault="00000000">
            <w:pPr>
              <w:spacing w:after="40"/>
            </w:pPr>
            <w:r>
              <w:rPr>
                <w:b/>
                <w:color w:val="C77A1F"/>
                <w:sz w:val="19"/>
              </w:rPr>
              <w:t>Medium</w:t>
            </w:r>
          </w:p>
        </w:tc>
      </w:tr>
      <w:tr w:rsidR="00F55E19" w14:paraId="2BD94F1F" w14:textId="77777777">
        <w:tc>
          <w:tcPr>
            <w:tcW w:w="2880" w:type="dxa"/>
          </w:tcPr>
          <w:p w14:paraId="14F4EA7F" w14:textId="77777777" w:rsidR="00F55E19" w:rsidRDefault="00000000">
            <w:pPr>
              <w:spacing w:after="40"/>
            </w:pPr>
            <w:r>
              <w:rPr>
                <w:sz w:val="19"/>
              </w:rPr>
              <w:t>Duplicate Company/Client Detection</w:t>
            </w:r>
          </w:p>
        </w:tc>
        <w:tc>
          <w:tcPr>
            <w:tcW w:w="2880" w:type="dxa"/>
          </w:tcPr>
          <w:p w14:paraId="12D4CAA7" w14:textId="77777777" w:rsidR="00F55E19" w:rsidRDefault="00000000">
            <w:pPr>
              <w:spacing w:after="40"/>
            </w:pPr>
            <w:r>
              <w:rPr>
                <w:sz w:val="19"/>
              </w:rPr>
              <w:t>Data Quality and Governance</w:t>
            </w:r>
          </w:p>
        </w:tc>
        <w:tc>
          <w:tcPr>
            <w:tcW w:w="2880" w:type="dxa"/>
          </w:tcPr>
          <w:p w14:paraId="086F2B35" w14:textId="77777777" w:rsidR="00F55E19" w:rsidRDefault="00000000">
            <w:pPr>
              <w:spacing w:after="40"/>
            </w:pPr>
            <w:r>
              <w:rPr>
                <w:b/>
                <w:color w:val="2E8B57"/>
                <w:sz w:val="19"/>
              </w:rPr>
              <w:t>Low</w:t>
            </w:r>
          </w:p>
        </w:tc>
      </w:tr>
      <w:tr w:rsidR="00F55E19" w14:paraId="2354B775" w14:textId="77777777">
        <w:tc>
          <w:tcPr>
            <w:tcW w:w="2880" w:type="dxa"/>
          </w:tcPr>
          <w:p w14:paraId="4ABD1AF3" w14:textId="77777777" w:rsidR="00F55E19" w:rsidRDefault="00000000">
            <w:pPr>
              <w:spacing w:after="40"/>
            </w:pPr>
            <w:r>
              <w:rPr>
                <w:sz w:val="19"/>
              </w:rPr>
              <w:t>Data-Entry Anomaly Flags</w:t>
            </w:r>
          </w:p>
        </w:tc>
        <w:tc>
          <w:tcPr>
            <w:tcW w:w="2880" w:type="dxa"/>
          </w:tcPr>
          <w:p w14:paraId="53BFA914" w14:textId="77777777" w:rsidR="00F55E19" w:rsidRDefault="00000000">
            <w:pPr>
              <w:spacing w:after="40"/>
            </w:pPr>
            <w:r>
              <w:rPr>
                <w:sz w:val="19"/>
              </w:rPr>
              <w:t>Data Quality and Governance</w:t>
            </w:r>
          </w:p>
        </w:tc>
        <w:tc>
          <w:tcPr>
            <w:tcW w:w="2880" w:type="dxa"/>
          </w:tcPr>
          <w:p w14:paraId="7AC64512" w14:textId="77777777" w:rsidR="00F55E19" w:rsidRDefault="00000000">
            <w:pPr>
              <w:spacing w:after="40"/>
            </w:pPr>
            <w:r>
              <w:rPr>
                <w:b/>
                <w:color w:val="2E8B57"/>
                <w:sz w:val="19"/>
              </w:rPr>
              <w:t>Low</w:t>
            </w:r>
          </w:p>
        </w:tc>
      </w:tr>
      <w:tr w:rsidR="00F55E19" w14:paraId="7E4BE680" w14:textId="77777777">
        <w:tc>
          <w:tcPr>
            <w:tcW w:w="2880" w:type="dxa"/>
          </w:tcPr>
          <w:p w14:paraId="040EB6FC" w14:textId="77777777" w:rsidR="00F55E19" w:rsidRDefault="00000000">
            <w:pPr>
              <w:spacing w:after="40"/>
            </w:pPr>
            <w:r>
              <w:rPr>
                <w:sz w:val="19"/>
              </w:rPr>
              <w:t>Pipeline Forecast Band</w:t>
            </w:r>
          </w:p>
        </w:tc>
        <w:tc>
          <w:tcPr>
            <w:tcW w:w="2880" w:type="dxa"/>
          </w:tcPr>
          <w:p w14:paraId="438E8CDB" w14:textId="77777777" w:rsidR="00F55E19" w:rsidRDefault="00000000">
            <w:pPr>
              <w:spacing w:after="40"/>
            </w:pPr>
            <w:r>
              <w:rPr>
                <w:sz w:val="19"/>
              </w:rPr>
              <w:t>Forecasting</w:t>
            </w:r>
          </w:p>
        </w:tc>
        <w:tc>
          <w:tcPr>
            <w:tcW w:w="2880" w:type="dxa"/>
          </w:tcPr>
          <w:p w14:paraId="4EBE86F3" w14:textId="77777777" w:rsidR="00F55E19" w:rsidRDefault="00000000">
            <w:pPr>
              <w:spacing w:after="40"/>
            </w:pPr>
            <w:r>
              <w:rPr>
                <w:b/>
                <w:color w:val="C0442C"/>
                <w:sz w:val="19"/>
              </w:rPr>
              <w:t>High</w:t>
            </w:r>
          </w:p>
        </w:tc>
      </w:tr>
      <w:tr w:rsidR="00F55E19" w14:paraId="58630EE3" w14:textId="77777777">
        <w:tc>
          <w:tcPr>
            <w:tcW w:w="2880" w:type="dxa"/>
          </w:tcPr>
          <w:p w14:paraId="40D6AE9E" w14:textId="77777777" w:rsidR="00F55E19" w:rsidRDefault="00000000">
            <w:pPr>
              <w:spacing w:after="40"/>
            </w:pPr>
            <w:r>
              <w:rPr>
                <w:sz w:val="19"/>
              </w:rPr>
              <w:t>Client Churn Risk Score</w:t>
            </w:r>
          </w:p>
        </w:tc>
        <w:tc>
          <w:tcPr>
            <w:tcW w:w="2880" w:type="dxa"/>
          </w:tcPr>
          <w:p w14:paraId="06F5AF74" w14:textId="77777777" w:rsidR="00F55E19" w:rsidRDefault="00000000">
            <w:pPr>
              <w:spacing w:after="40"/>
            </w:pPr>
            <w:r>
              <w:rPr>
                <w:sz w:val="19"/>
              </w:rPr>
              <w:t>Forecasting</w:t>
            </w:r>
          </w:p>
        </w:tc>
        <w:tc>
          <w:tcPr>
            <w:tcW w:w="2880" w:type="dxa"/>
          </w:tcPr>
          <w:p w14:paraId="1A58B6A1" w14:textId="77777777" w:rsidR="00F55E19" w:rsidRDefault="00000000">
            <w:pPr>
              <w:spacing w:after="40"/>
            </w:pPr>
            <w:r>
              <w:rPr>
                <w:b/>
                <w:color w:val="C77A1F"/>
                <w:sz w:val="19"/>
              </w:rPr>
              <w:t>Medium</w:t>
            </w:r>
          </w:p>
        </w:tc>
      </w:tr>
    </w:tbl>
    <w:p w14:paraId="6B3EF07B" w14:textId="77777777" w:rsidR="00F55E19" w:rsidRDefault="00000000">
      <w:r>
        <w:br w:type="page"/>
      </w:r>
    </w:p>
    <w:p w14:paraId="689C8C9A" w14:textId="77777777" w:rsidR="00F55E19" w:rsidRDefault="00000000">
      <w:pPr>
        <w:pBdr>
          <w:bottom w:val="single" w:sz="8" w:space="0" w:color="0A4A85"/>
        </w:pBdr>
        <w:spacing w:before="280" w:after="120"/>
      </w:pPr>
      <w:r>
        <w:rPr>
          <w:b/>
          <w:color w:val="0A1E3D"/>
          <w:sz w:val="30"/>
        </w:rPr>
        <w:lastRenderedPageBreak/>
        <w:t>1. Finding Opportunities</w:t>
      </w:r>
    </w:p>
    <w:p w14:paraId="58CADBC4" w14:textId="77777777" w:rsidR="00F55E19" w:rsidRDefault="00000000">
      <w:pPr>
        <w:spacing w:before="200" w:after="40"/>
      </w:pPr>
      <w:r>
        <w:rPr>
          <w:b/>
          <w:color w:val="0A4A85"/>
          <w:sz w:val="23"/>
        </w:rPr>
        <w:t>Opportunity Scout</w:t>
      </w:r>
    </w:p>
    <w:p w14:paraId="795DD6A6" w14:textId="77777777" w:rsidR="00F55E19" w:rsidRDefault="00000000">
      <w:pPr>
        <w:spacing w:after="40"/>
      </w:pPr>
      <w:r>
        <w:t>Continuously scans LinkedIn, company newsrooms, job boards, conference attendee lists, and regulatory filings (e.g. an FDA/EMA approval, a new market entry, a leadership hire in Medical Affairs) for signals that a company might need what Neovation offers. Matches are queued on a new review page — not written straight into the pipeline. A regional user looks at each candidate, and “Approve” creates a proper Blue Sky Opportunity record, pre-filled with company, a suggested client contact, and the source link as supporting notes. Rejected candidates just disappear — nothing pollutes the real pipeline without a human saying yes.</w:t>
      </w:r>
    </w:p>
    <w:p w14:paraId="2000A674" w14:textId="77777777" w:rsidR="00F55E19" w:rsidRDefault="00000000">
      <w:pPr>
        <w:spacing w:before="200" w:after="40"/>
      </w:pPr>
      <w:r>
        <w:rPr>
          <w:b/>
          <w:color w:val="0A4A85"/>
          <w:sz w:val="23"/>
        </w:rPr>
        <w:t>Champion Job-Change Alerts</w:t>
      </w:r>
    </w:p>
    <w:p w14:paraId="53FE6544" w14:textId="77777777" w:rsidR="00F55E19" w:rsidRDefault="00000000">
      <w:pPr>
        <w:spacing w:after="40"/>
      </w:pPr>
      <w:r>
        <w:t>Watches for job changes among people already logged as client contacts. When a known champion moves to a new company, that is two signals at once: the relationship at their old company may now be at risk (surface it on that company’s Account Health row), and their new company is a fresh, warm-intro opportunity worth a Blue Sky entry — someone who already knows and trusts Neovation is now sitting inside a brand-new potential client.</w:t>
      </w:r>
    </w:p>
    <w:p w14:paraId="617FB339" w14:textId="77777777" w:rsidR="00F55E19" w:rsidRDefault="00000000">
      <w:pPr>
        <w:spacing w:before="200" w:after="40"/>
      </w:pPr>
      <w:r>
        <w:rPr>
          <w:b/>
          <w:color w:val="0A4A85"/>
          <w:sz w:val="23"/>
        </w:rPr>
        <w:t>Competitive Signal Watch</w:t>
      </w:r>
    </w:p>
    <w:p w14:paraId="7B0B8385" w14:textId="77777777" w:rsidR="00F55E19" w:rsidRDefault="00000000">
      <w:pPr>
        <w:spacing w:after="40"/>
      </w:pPr>
      <w:r>
        <w:t>Monitors public signals that a known target account might be dissatisfied with its current marketing/medical partner — a competitor’s client publicly churning, a leadership change at an agency-of-record, or an RFP going out publicly. Flagged accounts get a note on their Companies row: “Possible open window — competitor relationship may be unsettled,” prompting a BD conversation rather than an automatic pipeline entry.</w:t>
      </w:r>
    </w:p>
    <w:p w14:paraId="03C18227" w14:textId="77777777" w:rsidR="00F55E19" w:rsidRDefault="00000000">
      <w:pPr>
        <w:pBdr>
          <w:bottom w:val="single" w:sz="8" w:space="0" w:color="0A4A85"/>
        </w:pBdr>
        <w:spacing w:before="280" w:after="120"/>
      </w:pPr>
      <w:r>
        <w:rPr>
          <w:b/>
          <w:color w:val="0A1E3D"/>
          <w:sz w:val="30"/>
        </w:rPr>
        <w:t>2. Making Data Entry Effortless</w:t>
      </w:r>
    </w:p>
    <w:p w14:paraId="31AAB6F5" w14:textId="77777777" w:rsidR="00F55E19" w:rsidRDefault="00000000">
      <w:pPr>
        <w:spacing w:before="200" w:after="40"/>
      </w:pPr>
      <w:r>
        <w:rPr>
          <w:b/>
          <w:color w:val="0A4A85"/>
          <w:sz w:val="23"/>
        </w:rPr>
        <w:t>Meeting Notes → Structured Engagement</w:t>
      </w:r>
    </w:p>
    <w:p w14:paraId="7D39B5F5" w14:textId="77777777" w:rsidR="00F55E19" w:rsidRDefault="00000000">
      <w:pPr>
        <w:spacing w:after="40"/>
      </w:pPr>
      <w:r>
        <w:t>Paste raw meeting notes (or a call/Teams transcript) into a box, and AI extracts Objective, Outcome, Discussion Points, CTA/Next Step, CTA Owner, and Stakeholder Type, pre-filling the Log Engagement form. The BD/PM still reviews and hits Save — this removes the tedious translate-my-notes-into-dropdowns step, not the human judgment.</w:t>
      </w:r>
    </w:p>
    <w:p w14:paraId="2A0679DB" w14:textId="77777777" w:rsidR="00F55E19" w:rsidRDefault="00000000">
      <w:pPr>
        <w:spacing w:before="200" w:after="40"/>
      </w:pPr>
      <w:r>
        <w:rPr>
          <w:b/>
          <w:color w:val="0A4A85"/>
          <w:sz w:val="23"/>
        </w:rPr>
        <w:t>Inbox-to-Engagement Sync</w:t>
      </w:r>
    </w:p>
    <w:p w14:paraId="557D9828" w14:textId="77777777" w:rsidR="00F55E19" w:rsidRDefault="00000000">
      <w:pPr>
        <w:spacing w:after="40"/>
      </w:pPr>
      <w:r>
        <w:t>With permission, scans a BD owner’s sent mail to known client contacts and drafts an engagement log entry from each substantive thread, queued for one-click approval rather than auto-saved. Solves the classic problem of real client conversations happening over email and never making it into the tracker at all.</w:t>
      </w:r>
    </w:p>
    <w:p w14:paraId="4E4308F4" w14:textId="77777777" w:rsidR="00F55E19" w:rsidRDefault="00000000">
      <w:pPr>
        <w:spacing w:before="200" w:after="40"/>
      </w:pPr>
      <w:r>
        <w:rPr>
          <w:b/>
          <w:color w:val="0A4A85"/>
          <w:sz w:val="23"/>
        </w:rPr>
        <w:t>Voice Memo Logging</w:t>
      </w:r>
    </w:p>
    <w:p w14:paraId="7CBB4AFC" w14:textId="77777777" w:rsidR="00F55E19" w:rsidRDefault="00000000">
      <w:pPr>
        <w:spacing w:after="40"/>
      </w:pPr>
      <w:r>
        <w:t>Record a 30-second voice note right after a call — “met with Priya at AbbVie, she wants a proposal by Friday” — and it transcribes and structures straight into a draft engagement, ready for review. Useful for BD people who are on the road and will not sit down to type until end of day, if at all.</w:t>
      </w:r>
    </w:p>
    <w:p w14:paraId="3838974A" w14:textId="77777777" w:rsidR="00F55E19" w:rsidRDefault="00000000">
      <w:pPr>
        <w:pBdr>
          <w:bottom w:val="single" w:sz="8" w:space="0" w:color="0A4A85"/>
        </w:pBdr>
        <w:spacing w:before="280" w:after="120"/>
      </w:pPr>
      <w:r>
        <w:rPr>
          <w:b/>
          <w:color w:val="0A1E3D"/>
          <w:sz w:val="30"/>
        </w:rPr>
        <w:lastRenderedPageBreak/>
        <w:t>3. Pipeline Intelligence</w:t>
      </w:r>
    </w:p>
    <w:p w14:paraId="6E10C187" w14:textId="77777777" w:rsidR="00F55E19" w:rsidRDefault="00000000">
      <w:pPr>
        <w:spacing w:before="200" w:after="40"/>
      </w:pPr>
      <w:r>
        <w:rPr>
          <w:b/>
          <w:color w:val="0A4A85"/>
          <w:sz w:val="23"/>
        </w:rPr>
        <w:t>Deal Risk and Staleness Alerts</w:t>
      </w:r>
    </w:p>
    <w:p w14:paraId="13DD5B78" w14:textId="77777777" w:rsidR="00F55E19" w:rsidRDefault="00000000">
      <w:pPr>
        <w:spacing w:after="40"/>
      </w:pPr>
      <w:r>
        <w:t>Flags opportunities that have not had a stage change or a logged engagement in N days, surfaced as a new “At risk” list on the Overview page alongside the existing Follow-ups Due widget. Cheapest use case on this whole list to build — it is a query over data already being captured, no external source needed, no model to train.</w:t>
      </w:r>
    </w:p>
    <w:p w14:paraId="2E0AD526" w14:textId="77777777" w:rsidR="00F55E19" w:rsidRDefault="00000000">
      <w:pPr>
        <w:spacing w:before="200" w:after="40"/>
      </w:pPr>
      <w:r>
        <w:rPr>
          <w:b/>
          <w:color w:val="0A4A85"/>
          <w:sz w:val="23"/>
        </w:rPr>
        <w:t>AI-Assisted Win Probability</w:t>
      </w:r>
    </w:p>
    <w:p w14:paraId="709FE260" w14:textId="77777777" w:rsidR="00F55E19" w:rsidRDefault="00000000">
      <w:pPr>
        <w:spacing w:after="40"/>
      </w:pPr>
      <w:r>
        <w:t>Today, probability is a flat 10/25/75/100 pick tied to stage. A model trained on historical stage-transition data (time-in-stage, engagement frequency, therapy area, region, BD owner) could suggest a more realistic probability, shown as a second, non-binding number next to the manual pick — “you set 75%, similar deals at this point in the pipeline closed at 61% historically.” Needs a real volume of closed-deal history before the model is worth trusting.</w:t>
      </w:r>
    </w:p>
    <w:p w14:paraId="40BC7955" w14:textId="77777777" w:rsidR="00F55E19" w:rsidRDefault="00000000">
      <w:pPr>
        <w:spacing w:before="200" w:after="40"/>
      </w:pPr>
      <w:r>
        <w:rPr>
          <w:b/>
          <w:color w:val="0A4A85"/>
          <w:sz w:val="23"/>
        </w:rPr>
        <w:t>Next-Best-Action Suggestions</w:t>
      </w:r>
    </w:p>
    <w:p w14:paraId="1987807B" w14:textId="77777777" w:rsidR="00F55E19" w:rsidRDefault="00000000">
      <w:pPr>
        <w:spacing w:after="40"/>
      </w:pPr>
      <w:r>
        <w:t>Given an opportunity’s current stage and history, suggests what tends to move similar deals forward — “deals at Proposal Submitted that included a capability presentation closed 2x more often.” Shown as a small suggestion chip on the opportunity’s edit view, easy to ignore, easy to act on.</w:t>
      </w:r>
    </w:p>
    <w:p w14:paraId="7E58B6E9" w14:textId="77777777" w:rsidR="00F55E19" w:rsidRDefault="00000000">
      <w:pPr>
        <w:pBdr>
          <w:bottom w:val="single" w:sz="8" w:space="0" w:color="0A4A85"/>
        </w:pBdr>
        <w:spacing w:before="280" w:after="120"/>
      </w:pPr>
      <w:r>
        <w:rPr>
          <w:b/>
          <w:color w:val="0A1E3D"/>
          <w:sz w:val="30"/>
        </w:rPr>
        <w:t>4. Company and Contact Intelligence</w:t>
      </w:r>
    </w:p>
    <w:p w14:paraId="2C6E0CBF" w14:textId="77777777" w:rsidR="00F55E19" w:rsidRDefault="00000000">
      <w:pPr>
        <w:spacing w:before="200" w:after="40"/>
      </w:pPr>
      <w:r>
        <w:rPr>
          <w:b/>
          <w:color w:val="0A4A85"/>
          <w:sz w:val="23"/>
        </w:rPr>
        <w:t>Company Auto-Enrichment</w:t>
      </w:r>
    </w:p>
    <w:p w14:paraId="14EBB7DB" w14:textId="77777777" w:rsidR="00F55E19" w:rsidRDefault="00000000">
      <w:pPr>
        <w:spacing w:after="40"/>
      </w:pPr>
      <w:r>
        <w:t>Type a company name into the Add Company form, and AI pre-fills what it can find publicly — therapy area focus, size, headquarters, notable recent news — cutting down the manual research step before a company record is even usable.</w:t>
      </w:r>
    </w:p>
    <w:p w14:paraId="31F91670" w14:textId="77777777" w:rsidR="00F55E19" w:rsidRDefault="00000000">
      <w:pPr>
        <w:spacing w:before="200" w:after="40"/>
      </w:pPr>
      <w:r>
        <w:rPr>
          <w:b/>
          <w:color w:val="0A4A85"/>
          <w:sz w:val="23"/>
        </w:rPr>
        <w:t>Health Score Co-Pilot</w:t>
      </w:r>
    </w:p>
    <w:p w14:paraId="3BDEA446" w14:textId="77777777" w:rsidR="00F55E19" w:rsidRDefault="00000000">
      <w:pPr>
        <w:spacing w:after="40"/>
      </w:pPr>
      <w:r>
        <w:t>The Companies page’s Health Matrix (Budget Potential, Client Relationship, Team Satisfaction, Degree of Innovation) is entirely manual today. AI could propose a starting score from objective signals already in the data — engagement recency and frequency, win/loss ratio, time since last touch — as a suggestion the BD owner confirms or overrides, not a silent auto-fill.</w:t>
      </w:r>
    </w:p>
    <w:p w14:paraId="6750E63F" w14:textId="77777777" w:rsidR="00F55E19" w:rsidRDefault="00000000">
      <w:pPr>
        <w:spacing w:before="200" w:after="40"/>
      </w:pPr>
      <w:r>
        <w:rPr>
          <w:b/>
          <w:color w:val="0A4A85"/>
          <w:sz w:val="23"/>
        </w:rPr>
        <w:t>Stakeholder Map Suggestions</w:t>
      </w:r>
    </w:p>
    <w:p w14:paraId="259DF068" w14:textId="77777777" w:rsidR="00F55E19" w:rsidRDefault="00000000">
      <w:pPr>
        <w:spacing w:after="40"/>
      </w:pPr>
      <w:r>
        <w:t>Suggests additional contacts worth adding to a company’s Client Database entry based on public org information, and flags when a logged contact’s title or department looks out of date compared to what is publicly listed — a nudge to double check before a stale contact quietly goes cold.</w:t>
      </w:r>
    </w:p>
    <w:p w14:paraId="371C8060" w14:textId="77777777" w:rsidR="00F55E19" w:rsidRDefault="00000000">
      <w:pPr>
        <w:pBdr>
          <w:bottom w:val="single" w:sz="8" w:space="0" w:color="0A4A85"/>
        </w:pBdr>
        <w:spacing w:before="280" w:after="120"/>
      </w:pPr>
      <w:r>
        <w:rPr>
          <w:b/>
          <w:color w:val="0A1E3D"/>
          <w:sz w:val="30"/>
        </w:rPr>
        <w:t>5. Natural-Language Reporting</w:t>
      </w:r>
    </w:p>
    <w:p w14:paraId="5B75BE5C" w14:textId="77777777" w:rsidR="00F55E19" w:rsidRDefault="00000000">
      <w:pPr>
        <w:spacing w:before="200" w:after="40"/>
      </w:pPr>
      <w:r>
        <w:rPr>
          <w:b/>
          <w:color w:val="0A4A85"/>
          <w:sz w:val="23"/>
        </w:rPr>
        <w:t>Ask NeoEngage</w:t>
      </w:r>
    </w:p>
    <w:p w14:paraId="4F14C74E" w14:textId="77777777" w:rsidR="00F55E19" w:rsidRDefault="00000000">
      <w:pPr>
        <w:spacing w:after="40"/>
      </w:pPr>
      <w:r>
        <w:t xml:space="preserve">A chat box, available anywhere in the app, that answers plain-English questions against your actual permitted data — “what is our win rate in APAC this quarter vs last,” “which companies have not </w:t>
      </w:r>
      <w:r>
        <w:lastRenderedPageBreak/>
        <w:t>been touched in 90+ days.” Respects the same role/region access rules as everywhere else in the tool — a Regional User asking this only ever sees their own region’s answer.</w:t>
      </w:r>
    </w:p>
    <w:p w14:paraId="6B2EED26" w14:textId="77777777" w:rsidR="00F55E19" w:rsidRDefault="00000000">
      <w:pPr>
        <w:spacing w:before="200" w:after="40"/>
      </w:pPr>
      <w:r>
        <w:rPr>
          <w:b/>
          <w:color w:val="0A4A85"/>
          <w:sz w:val="23"/>
        </w:rPr>
        <w:t>English-to-Custom-Dashboard</w:t>
      </w:r>
    </w:p>
    <w:p w14:paraId="024CC7A4" w14:textId="77777777" w:rsidR="00F55E19" w:rsidRDefault="00000000">
      <w:pPr>
        <w:spacing w:after="40"/>
      </w:pPr>
      <w:r>
        <w:t>Pairs directly with the Custom Dashboard feature already scoped: type “show me meetings vs wins by BD owner” and it fills in the builder’s dimension/measure/chart-type controls for you, which you can then tweak by hand. Turns the builder from “configure this yourself” into “describe what you want, adjust from there.”</w:t>
      </w:r>
    </w:p>
    <w:p w14:paraId="5693835E" w14:textId="77777777" w:rsidR="00F55E19" w:rsidRDefault="00000000">
      <w:pPr>
        <w:spacing w:before="200" w:after="40"/>
      </w:pPr>
      <w:r>
        <w:rPr>
          <w:b/>
          <w:color w:val="0A4A85"/>
          <w:sz w:val="23"/>
        </w:rPr>
        <w:t>Auto-Drafted Exec Digest</w:t>
      </w:r>
    </w:p>
    <w:p w14:paraId="74238E1B" w14:textId="77777777" w:rsidR="00F55E19" w:rsidRDefault="00000000">
      <w:pPr>
        <w:spacing w:after="40"/>
      </w:pPr>
      <w:r>
        <w:t>A weekly or monthly plain-English summary — pipeline movement, notable wins/losses, at-risk deals, standout accounts — generated automatically and exported as a Word doc or email, instead of a leader having to piece it together from dashboards by hand.</w:t>
      </w:r>
    </w:p>
    <w:p w14:paraId="130F944D" w14:textId="77777777" w:rsidR="00F55E19" w:rsidRDefault="00000000">
      <w:pPr>
        <w:pBdr>
          <w:bottom w:val="single" w:sz="8" w:space="0" w:color="0A4A85"/>
        </w:pBdr>
        <w:spacing w:before="280" w:after="120"/>
      </w:pPr>
      <w:r>
        <w:rPr>
          <w:b/>
          <w:color w:val="0A1E3D"/>
          <w:sz w:val="30"/>
        </w:rPr>
        <w:t>6. Auto-Generated Documents</w:t>
      </w:r>
    </w:p>
    <w:p w14:paraId="57B9166D" w14:textId="77777777" w:rsidR="00F55E19" w:rsidRDefault="00000000">
      <w:pPr>
        <w:spacing w:before="200" w:after="40"/>
      </w:pPr>
      <w:r>
        <w:rPr>
          <w:b/>
          <w:color w:val="0A4A85"/>
          <w:sz w:val="23"/>
        </w:rPr>
        <w:t>Proposal First-Draft Generator</w:t>
      </w:r>
    </w:p>
    <w:p w14:paraId="729E463C" w14:textId="77777777" w:rsidR="00F55E19" w:rsidRDefault="00000000">
      <w:pPr>
        <w:spacing w:after="40"/>
      </w:pPr>
      <w:r>
        <w:t>Once an opportunity reaches Proposal Preparation, generate a first-pass proposal document using the company’s profile, the specific therapy area, and language pulled from past won proposals in similar situations — the BD team edits and refines rather than starting from a blank page.</w:t>
      </w:r>
    </w:p>
    <w:p w14:paraId="3CF9688E" w14:textId="77777777" w:rsidR="00F55E19" w:rsidRDefault="00000000">
      <w:pPr>
        <w:spacing w:before="200" w:after="40"/>
      </w:pPr>
      <w:r>
        <w:rPr>
          <w:b/>
          <w:color w:val="0A4A85"/>
          <w:sz w:val="23"/>
        </w:rPr>
        <w:t>Meeting Prep Brief</w:t>
      </w:r>
    </w:p>
    <w:p w14:paraId="472CD3B2" w14:textId="77777777" w:rsidR="00F55E19" w:rsidRDefault="00000000">
      <w:pPr>
        <w:spacing w:after="40"/>
      </w:pPr>
      <w:r>
        <w:t>Before a scheduled client meeting, auto-generate a one-page Word doc brief: engagement history with that client, any open opportunities, Health Matrix scores, and recent public news — something to actually walk into the room with. Low effort, high daily-use value — this is arguably the most immediately useful “magic” item on this whole list.</w:t>
      </w:r>
    </w:p>
    <w:p w14:paraId="1DC231C7" w14:textId="77777777" w:rsidR="00F55E19" w:rsidRDefault="00000000">
      <w:pPr>
        <w:spacing w:before="200" w:after="40"/>
      </w:pPr>
      <w:r>
        <w:rPr>
          <w:b/>
          <w:color w:val="0A4A85"/>
          <w:sz w:val="23"/>
        </w:rPr>
        <w:t>Auto-Generated QBR Deck</w:t>
      </w:r>
    </w:p>
    <w:p w14:paraId="3DFC582A" w14:textId="77777777" w:rsidR="00F55E19" w:rsidRDefault="00000000">
      <w:pPr>
        <w:spacing w:after="40"/>
      </w:pPr>
      <w:r>
        <w:t>Turns a company’s rollup (from the Companies page) and engagement history into a first-draft quarterly business review document or slide deck — the account team polishes it rather than building it from scratch every quarter.</w:t>
      </w:r>
    </w:p>
    <w:p w14:paraId="14CF17EE" w14:textId="77777777" w:rsidR="00F55E19" w:rsidRDefault="00000000">
      <w:pPr>
        <w:pBdr>
          <w:bottom w:val="single" w:sz="8" w:space="0" w:color="0A4A85"/>
        </w:pBdr>
        <w:spacing w:before="280" w:after="120"/>
      </w:pPr>
      <w:r>
        <w:rPr>
          <w:b/>
          <w:color w:val="0A1E3D"/>
          <w:sz w:val="30"/>
        </w:rPr>
        <w:t>7. Data Quality and Governance</w:t>
      </w:r>
    </w:p>
    <w:p w14:paraId="67D5C2AD" w14:textId="77777777" w:rsidR="00F55E19" w:rsidRDefault="00000000">
      <w:pPr>
        <w:spacing w:before="200" w:after="40"/>
      </w:pPr>
      <w:r>
        <w:rPr>
          <w:b/>
          <w:color w:val="0A4A85"/>
          <w:sz w:val="23"/>
        </w:rPr>
        <w:t>Duplicate Company/Client Detection</w:t>
      </w:r>
    </w:p>
    <w:p w14:paraId="0E9A500D" w14:textId="77777777" w:rsidR="00F55E19" w:rsidRDefault="00000000">
      <w:pPr>
        <w:spacing w:after="40"/>
      </w:pPr>
      <w:r>
        <w:t>The tool already merges a couple of known company-name variants by hand (e.g. “AbbVie” vs “Abbvie”) via a hardcoded alias list. AI-assisted fuzzy matching could proactively flag likely duplicates across every region for an admin to confirm-merge, instead of relying on someone noticing and hardcoding a new alias every time.</w:t>
      </w:r>
    </w:p>
    <w:p w14:paraId="50FDB719" w14:textId="77777777" w:rsidR="00F55E19" w:rsidRDefault="00000000">
      <w:pPr>
        <w:spacing w:before="200" w:after="40"/>
      </w:pPr>
      <w:r>
        <w:rPr>
          <w:b/>
          <w:color w:val="0A4A85"/>
          <w:sz w:val="23"/>
        </w:rPr>
        <w:t>Data-Entry Anomaly Flags</w:t>
      </w:r>
    </w:p>
    <w:p w14:paraId="306612A6" w14:textId="77777777" w:rsidR="00F55E19" w:rsidRDefault="00000000">
      <w:pPr>
        <w:spacing w:after="40"/>
      </w:pPr>
      <w:r>
        <w:lastRenderedPageBreak/>
        <w:t>Flags likely mistakes before they pollute a dashboard — an estimated value wildly out of line with similar deals, an Expected Close Date sitting in the past on a still-open opportunity, a probability that does not match its stage. A quiet check at save time, not a hard block.</w:t>
      </w:r>
    </w:p>
    <w:p w14:paraId="56E6389B" w14:textId="77777777" w:rsidR="00F55E19" w:rsidRDefault="00000000">
      <w:pPr>
        <w:pBdr>
          <w:bottom w:val="single" w:sz="8" w:space="0" w:color="0A4A85"/>
        </w:pBdr>
        <w:spacing w:before="280" w:after="120"/>
      </w:pPr>
      <w:r>
        <w:rPr>
          <w:b/>
          <w:color w:val="0A1E3D"/>
          <w:sz w:val="30"/>
        </w:rPr>
        <w:t>8. Forecasting</w:t>
      </w:r>
    </w:p>
    <w:p w14:paraId="59166507" w14:textId="77777777" w:rsidR="00F55E19" w:rsidRDefault="00000000">
      <w:pPr>
        <w:spacing w:before="200" w:after="40"/>
      </w:pPr>
      <w:r>
        <w:rPr>
          <w:b/>
          <w:color w:val="0A4A85"/>
          <w:sz w:val="23"/>
        </w:rPr>
        <w:t>Pipeline Forecast Band</w:t>
      </w:r>
    </w:p>
    <w:p w14:paraId="4B2EABC3" w14:textId="77777777" w:rsidR="00F55E19" w:rsidRDefault="00000000">
      <w:pPr>
        <w:spacing w:after="40"/>
      </w:pPr>
      <w:r>
        <w:t>Supplements today’s flat weighted-value math (estimated value × probability) with a proper forecast range built from historical stage-to-close conversion rates and seasonality — shown as a confidence band on the Overview/All Regions pipeline charts rather than one flat number.</w:t>
      </w:r>
    </w:p>
    <w:p w14:paraId="58803918" w14:textId="77777777" w:rsidR="00F55E19" w:rsidRDefault="00000000">
      <w:pPr>
        <w:spacing w:before="200" w:after="40"/>
      </w:pPr>
      <w:r>
        <w:rPr>
          <w:b/>
          <w:color w:val="0A4A85"/>
          <w:sz w:val="23"/>
        </w:rPr>
        <w:t>Client Churn Risk Score</w:t>
      </w:r>
    </w:p>
    <w:p w14:paraId="4A1B4514" w14:textId="77777777" w:rsidR="00F55E19" w:rsidRDefault="00000000">
      <w:pPr>
        <w:spacing w:after="40"/>
      </w:pPr>
      <w:r>
        <w:t>Predicts which “Active business” clients are drifting toward Inactive, based on declining engagement frequency and stalling opportunities — an early warning on the Companies page before a relationship has actually gone quiet, not after.</w:t>
      </w:r>
    </w:p>
    <w:p w14:paraId="186B2813" w14:textId="3422E599" w:rsidR="00F55E19" w:rsidRPr="00EC6254" w:rsidRDefault="00F55E19"/>
    <w:sectPr w:rsidR="00F55E19" w:rsidRPr="00EC625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56586732">
    <w:abstractNumId w:val="8"/>
  </w:num>
  <w:num w:numId="2" w16cid:durableId="1265262962">
    <w:abstractNumId w:val="6"/>
  </w:num>
  <w:num w:numId="3" w16cid:durableId="1346051634">
    <w:abstractNumId w:val="5"/>
  </w:num>
  <w:num w:numId="4" w16cid:durableId="1825929854">
    <w:abstractNumId w:val="4"/>
  </w:num>
  <w:num w:numId="5" w16cid:durableId="949893878">
    <w:abstractNumId w:val="7"/>
  </w:num>
  <w:num w:numId="6" w16cid:durableId="884293889">
    <w:abstractNumId w:val="3"/>
  </w:num>
  <w:num w:numId="7" w16cid:durableId="1508405988">
    <w:abstractNumId w:val="2"/>
  </w:num>
  <w:num w:numId="8" w16cid:durableId="1738286420">
    <w:abstractNumId w:val="1"/>
  </w:num>
  <w:num w:numId="9" w16cid:durableId="337038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47730"/>
    <w:rsid w:val="00CB0664"/>
    <w:rsid w:val="00CB4926"/>
    <w:rsid w:val="00EC6254"/>
    <w:rsid w:val="00F55E1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8963B843-4832-4320-834F-9E2B110F87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222222"/>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1130</TotalTime>
  <Pages>5</Pages>
  <Words>1497</Words>
  <Characters>8523</Characters>
  <Application>Microsoft Office Word</Application>
  <DocSecurity>0</DocSecurity>
  <Lines>198</Lines>
  <Paragraphs>143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9877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Arohi Jain</cp:lastModifiedBy>
  <cp:revision>2</cp:revision>
  <dcterms:created xsi:type="dcterms:W3CDTF">2013-12-23T23:15:00Z</dcterms:created>
  <dcterms:modified xsi:type="dcterms:W3CDTF">2026-08-12T02:49:00Z</dcterms:modified>
  <cp:category/>
</cp:coreProperties>
</file>