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1E3D"/>
          <w:sz w:val="52"/>
        </w:rPr>
        <w:t>Dashboard Logic Reference</w:t>
      </w:r>
    </w:p>
    <w:p>
      <w:r>
        <w:rPr>
          <w:i/>
          <w:color w:val="4B5C74"/>
          <w:sz w:val="23"/>
        </w:rPr>
        <w:t>What every KPI card, table, and chart on the NeoEngage dashboard actually shows and how it is calculated.</w:t>
      </w:r>
    </w:p>
    <w:p>
      <w:r>
        <w:rPr>
          <w:color w:val="8896AA"/>
          <w:sz w:val="18"/>
        </w:rPr>
        <w:t>Neovation · Internal  ·  FY 2026–27  ·  reflects app.js as of 2026-08-11</w:t>
      </w:r>
    </w:p>
    <w:p>
      <w:pPr>
        <w:spacing w:after="160"/>
      </w:pPr>
      <w:r>
        <w:rPr>
          <w:b w:val="0"/>
          <w:i w:val="0"/>
          <w:sz w:val="20"/>
        </w:rPr>
        <w:t>If a number looks surprising, check here before assuming it is wrong — most “surprising” numbers turn out to be a deliberate rule documented below (Win Rate is the classic example — it is not what most people guess). This documents behavior as implemented in app.js; if the code changes, this file can drift out of date — treat it as a guide to how it is meant to work.</w:t>
      </w:r>
    </w:p>
    <w:p>
      <w:r>
        <w:br w:type="page"/>
      </w: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1. Core Rules Everything Else Builds On</w:t>
      </w:r>
    </w:p>
    <w:p>
      <w:pPr>
        <w:spacing w:after="160"/>
      </w:pPr>
      <w:r>
        <w:rPr>
          <w:b w:val="0"/>
          <w:i/>
          <w:sz w:val="20"/>
        </w:rPr>
        <w:t>Read this section first — every KPI, table, and chart in the app is built out of these few rules.</w:t>
      </w:r>
    </w:p>
    <w:p>
      <w:pPr>
        <w:spacing w:before="240" w:after="80"/>
      </w:pPr>
      <w:r>
        <w:rPr>
          <w:b/>
          <w:color w:val="0A4A85"/>
          <w:sz w:val="25"/>
        </w:rPr>
        <w:t>1.1 Currency — everything is entered in SGD directly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Currency assumption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Estimated Value (Opportunities)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Entered directly in SGD, in every region — no conversion applied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Weighted Value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Estimated Value × Probability, already in SGD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Target Revenue (Companies)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Entered directly in SGD — no conversion applied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4B5C74"/>
          <w:sz w:val="20"/>
        </w:rPr>
        <w:t>Changed 2026-08-11: opportunity values used to be entered in each region's own local currency (ME/US = USD, APAC = SGD, IND = INR) and converted using a live FX rate table maintained by finance, with the rate frozen the moment a deal closed. Target Revenue used to be entered in USD and converted at today's rate. That whole mechanism (FX_RATES, fetchFxRates(), REGION_CURRENCY, fxRateFor(), currencyForOpp(), the fx_rate_locked field) is still present in app.js but no longer read by anything — oppEstSgd(), oppWeightedSgd(), and targetRevSgd() are now plain pass-throughs.</w:t>
      </w:r>
    </w:p>
    <w:p>
      <w:pPr>
        <w:spacing w:before="240" w:after="80"/>
      </w:pPr>
      <w:r>
        <w:rPr>
          <w:b/>
          <w:color w:val="0A4A85"/>
          <w:sz w:val="25"/>
        </w:rPr>
        <w:t>1.2 Opportunity stages — the 9 stages, in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Bucket</w:t>
            </w:r>
          </w:p>
        </w:tc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Probability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Blue Sky Opportunity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Open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Manual — pick 10/25/75/100%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Identified Opportunity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Open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Manual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(stage “03” retired — numbering intentionally skips it)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Proposal preparation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Open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Manual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Proposal submitted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Open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Manual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To Win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Open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Auto-locked to 100%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Win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Closed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Auto-locked to 100%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Loss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Closed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Auto-locked to 0%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Client not interested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Closed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Auto-locked to 0%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Missed Opportunity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Closed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Auto-locked to 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Open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Blue Sky, Identified, Proposal preparation, Proposal submitted, To Win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Closed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Win, Loss, Client not interested, Missed Opportunity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Auto-lock trigger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Setting stage to To Win / Win / Loss / Client not interested / Missed Opportunity auto-fills and greys out (locks) the Probability field — cannot be manually overridden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 Win nuance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Still counts as OPEN (not closed) — keeps counting in open/weighted pipeline totals, just at 100% probability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A4A85"/>
          <w:sz w:val="25"/>
        </w:rPr>
        <w:t>1.3 Weighted value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Weighted Value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Estimated Value × Probability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Computed once and stored at save time — not recalculated live, so changing probability only updates weighted value the next time that record is saved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A4A85"/>
          <w:sz w:val="25"/>
        </w:rPr>
        <w:t>1.4 Win rate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2880"/>
            <w:shd w:val="clear" w:fill="0A1E3D"/>
          </w:tcPr>
          <w:p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Win Rate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Wins ÷ Opportunities that reached "Proposal submitted"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NOT wins ÷ all opportunities — an opportunity still at Blue Sky/Identified does not count in the denominator at all. Shown on Overview, Opportunities, and All Regions pages.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2. Overview Page</w:t>
      </w:r>
    </w:p>
    <w:p>
      <w:pPr>
        <w:spacing w:after="80"/>
      </w:pPr>
      <w:r>
        <w:rPr>
          <w:b w:val="0"/>
          <w:i/>
          <w:color w:val="4B5C74"/>
          <w:sz w:val="20"/>
        </w:rPr>
        <w:t>renderOverview()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KPI tile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Open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Estimated Value (SGD) across all open-stage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Weighted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Weighted Value (SGD) across all open-stage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 rate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See §1.4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Overdue CTAs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engagements where Follow-up done ≠ "Yes" AND CTA Due Date is in the past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What it shows / how it is calculated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Engagement by BD Owner table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engagements in the selected period (§2a), by BD/PM owner, cross-tabbed by Engagement Type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Engagement by Department table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Same, cross-tabbed by the client’s Department (looked up from Clients by Company + Client Name)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Pipeline Funnel row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Estimated Value and Weighted Value for each of the 6 open-or-won stages (Blue Sky → Win), plus a Total column, matched by exact stage name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Weekly engagement trend chart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engagements per week, last 10 weeks, weeks start Monday (ISO week)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Follow-ups due this week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Engagements not marked done, CTA Due Date within next 7 days (incl. overdue), soonest first, capped at 8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Recent outcomes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The 10 most recently decided Win/Loss opportunities, ranked by the date the stage actually changed (from stage history), falling back to Expected Close Date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A4A85"/>
          <w:sz w:val="25"/>
        </w:rPr>
        <w:t>Account Health Matrix ("Total Touch Points" table) — one row per company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Total Touch Points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engagements logged for that company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Estimated Value for that company’s Won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 Win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Estimated Value for that company’s To Win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Estimated Value for open opportunities, EXCLUDING To Win (already broken out in its own column)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Lose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Estimated Value for Loss + Client not interested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Total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 + To Win + Pipeline + Lose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4B5C74"/>
          <w:sz w:val="20"/>
        </w:rPr>
        <w:t>Rows with zero engagements, wins, To Win, pipeline, and losses are hidden. Sorted by Total, highest first.</w:t>
      </w:r>
    </w:p>
    <w:p>
      <w:pPr>
        <w:spacing w:before="240" w:after="80"/>
      </w:pPr>
      <w:r>
        <w:rPr>
          <w:b/>
          <w:color w:val="0A4A85"/>
          <w:sz w:val="25"/>
        </w:rPr>
        <w:t>2a. What "period" means (Weekly / Monthly / Quarterly / YTD)</w:t>
      </w:r>
    </w:p>
    <w:p>
      <w:pPr>
        <w:spacing w:after="80"/>
      </w:pPr>
      <w:r>
        <w:rPr>
          <w:b w:val="0"/>
          <w:i w:val="0"/>
          <w:sz w:val="20"/>
        </w:rPr>
        <w:t>Fiscal year runs April → March. periodStart():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Start date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Weekly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Monday of the current week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Monthly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1st of the current month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Quarterly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Start of whichever Apr/Jul/Oct/Jan block contains today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YTD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April 1st of the current fiscal year (last April 1st if today is Jan–Mar)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4B5C74"/>
          <w:sz w:val="20"/>
        </w:rPr>
        <w:t>Only ENGAGEMENT COUNTS are period-filtered by this control — pipeline/weighted/win-rate figures are always all-time everywhere in the app, regardless of the period picker.</w:t>
      </w:r>
    </w:p>
    <w:p>
      <w:r>
        <w:br w:type="page"/>
      </w: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3. BD Sales Funnel Tracker</w:t>
      </w:r>
    </w:p>
    <w:p>
      <w:pPr>
        <w:spacing w:after="80"/>
      </w:pPr>
      <w:r>
        <w:rPr>
          <w:b w:val="0"/>
          <w:i/>
          <w:color w:val="4B5C74"/>
          <w:sz w:val="20"/>
        </w:rPr>
        <w:t>Appears identically on Overview (single region) and All Regions Overview (merged) — same logic, different data scope. renderBDFunnel() / renderAllRegionsBDFunnel()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 — Stakeholder List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clients, Total (all) or Active (status = Active business/Active engagement, via Show toggle), by Department. Collapsed to just Total Clients by default.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2 — Engagement Overview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engagements by Engagement Type, filterable by month (defaults to All Time)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3 — Opportunity Mapping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ALL opportunities across every one of the 9 stages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4 — Pipeline Funnel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One column per open-or-won stage (Blue Sky → Win, 6 columns): opportunity count + Estimated Value, plus a Total column. Matched by exact stage name (see §10).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4. All Regions Overview</w:t>
      </w:r>
    </w:p>
    <w:p>
      <w:pPr>
        <w:spacing w:after="80"/>
      </w:pPr>
      <w:r>
        <w:rPr>
          <w:b w:val="0"/>
          <w:i/>
          <w:color w:val="4B5C74"/>
          <w:sz w:val="20"/>
        </w:rPr>
        <w:t>Visible only to SuperAdmin, Global User, and Global Viewer roles. Merges every region’s data, tagging each record with its origin region.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KPI tile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Open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Same as Overview §2, across the merged (all-region) dataset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Weighted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Same, merged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 rate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Same formula as §1.4, merged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Engagements logged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in the selected period — this one IS period-filtered (§2a)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Region comparison chart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Open pipeline vs. Weighted pipeline, one bar pair per region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Region summary table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Per region: Clients, Active, Open Opps, Pipeline, Weighted, Wins, Win Rate, Engagements (period) + Grand Total row (Win Rate not summed — averaging rates is not meaningful)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Pipeline by stage per region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Same 6 open-or-won stages as §3 Section 4, counts only, one row per region + Grand Total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Engagement activity trend chart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One line per region, engagement count per week, last 12 weeks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5. Companies Page</w:t>
      </w:r>
    </w:p>
    <w:p>
      <w:pPr>
        <w:spacing w:after="80"/>
      </w:pPr>
      <w:r>
        <w:rPr>
          <w:b w:val="0"/>
          <w:i/>
          <w:color w:val="4B5C74"/>
          <w:sz w:val="20"/>
        </w:rPr>
        <w:t>renderCompanies(), computeCompanyRollup()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KPI tile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Companies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distinct companies (merges known duplicate entries, e.g. "Abbvie"/"AbbVie")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Combined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open-stage Estimated Value across every company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Total wins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Won opportunities across every company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Onboarding on file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companies with an Onboarding Status set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A4A85"/>
          <w:sz w:val="25"/>
        </w:rPr>
        <w:t>Company table columns (rolled up from Clients / Opportunities / Engagements)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Onboarding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From the Companies record directly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Target Revenue (SGD)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See §1.1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Clients / Active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Total clients / how many are Active business or Active engagement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Open Opps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open-stage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Estimated Value across ALL open-stage opportunities — unlike the Account Health Matrix (§2), this DOES include To Win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Weighted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Weighted Value across open-stage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Won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Engagements / Last Engagement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logged engagements / most recent engagement date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4B5C74"/>
          <w:sz w:val="20"/>
        </w:rPr>
        <w:t>Rows are tinted light red if the company’s last engagement was more than 90 days ago.</w:t>
      </w:r>
    </w:p>
    <w:p>
      <w:pPr>
        <w:spacing w:after="160"/>
      </w:pPr>
      <w:r>
        <w:rPr>
          <w:b w:val="0"/>
          <w:i/>
          <w:color w:val="4B5C74"/>
          <w:sz w:val="20"/>
        </w:rPr>
        <w:t>Health Matrix (Overall Budget Potential, Overall Client Relationship, Client Perception, Team Satisfaction, Degree of Innovation) is NOT calculated — manually entered scores (1–5, or a category for Client Perception) shown read-only; editing happens through the company’s Edit modal.</w:t>
      </w:r>
    </w:p>
    <w:p>
      <w:r>
        <w:br w:type="page"/>
      </w: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6. Client Database Page</w:t>
      </w:r>
    </w:p>
    <w:p>
      <w:pPr>
        <w:spacing w:after="80"/>
      </w:pPr>
      <w:r>
        <w:rPr>
          <w:b w:val="0"/>
          <w:i/>
          <w:color w:val="4B5C74"/>
          <w:sz w:val="20"/>
        </w:rPr>
        <w:t>renderClients(), renderClientPivot()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KPI tiles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Plain counts: Total clients (subtitle = distinct company count), plus one tile per status (Active business, Active engagement, Prospects, Inactive)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Stakeholder pivot table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Company → Department (drill down by clicking a company row), cross-tabbed by Status, with row and grand totals. Optionally filtered to one Therapy Area.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7. Opportunity Tracker Page</w:t>
      </w:r>
    </w:p>
    <w:p>
      <w:pPr>
        <w:spacing w:after="80"/>
      </w:pPr>
      <w:r>
        <w:rPr>
          <w:b w:val="0"/>
          <w:i/>
          <w:color w:val="4B5C74"/>
          <w:sz w:val="20"/>
        </w:rPr>
        <w:t>renderOpportunities(), renderOpPivotTable(), renderOpStageChart()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KPI tile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Total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all opportunities (subtitle: how many are open)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Open pipeline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Estimated Value, open stages only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Weighted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Sum of Weighted Value, open stages only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+ Estimated Value sum of Won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Lost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+ Estimated Value sum of Loss + Client not interested opportunities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 rate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See §1.4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Stage pivot table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One row per stage with ≥1 opportunity (all 9 stages): count, Estimated Value, Weighted Value + Grand Total row. Optional company filter.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Stage chart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Bar = opportunity count per stage (all 9), line = Weighted Value per stage, same company filter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8. Engagement Log Page</w:t>
      </w:r>
    </w:p>
    <w:p>
      <w:pPr>
        <w:spacing w:after="80"/>
      </w:pPr>
      <w:r>
        <w:rPr>
          <w:b w:val="0"/>
          <w:i/>
          <w:color w:val="4B5C74"/>
          <w:sz w:val="20"/>
        </w:rPr>
        <w:t>renderEngagements(), renderEngagementPivotTable()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KPI tile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Total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of all logged engagements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This week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with an engagement date in the current ISO week (Monday–today)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Last week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in the prior ISO week, with a ▲/▼/– delta vs. this week as the subtitle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Follow-up pending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where Follow-up done ≠ "Yes"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Led to RFP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Count where Engagement Outcome contains "led to rfp" (case-insensitive)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Engagement pivot table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Outcome (row group) → Stakeholder Type (drill-down), cross-tabbed by Engagement Type, with grand totals. Filterable by BD/PM, month, company, objective, engagement type.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Weekly bar chart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Engagement count per week, last 12 weeks; clicking a bar drills into that week’s engagements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9. Known Quirks That Look Like Bugs But Are Not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Quirk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Explanation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Stage "03" doesn’t exist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Retired from the pipeline at some point; the tool and Excel templates intentionally skip "02 Identified" → "04 Proposal preparation." Nothing to fix.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"AbbVie" vs "Abbvie"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Near-duplicate company names typed inconsistently across regions are merged on read (canonicalCompany/normCo) — rolls up as one company everywhere.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Win Rate’s denominator is "submitted," not "total"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See §1.4 — by design, not a miscount.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Two different "Pipeline" definitions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Account Health Matrix’s Pipeline column excludes To Win; the Companies table’s Pipeline column does not. See §2 and §5. If the two numbers don’t match for the same company, this is why.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FX conversion no longer runs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As of 2026-08-11, figures are entered directly in SGD everywhere. The old locking-on-close mechanism is retired but not deleted — see §1.1.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0" w:color="0A4A85"/>
        </w:pBdr>
      </w:pPr>
      <w:r>
        <w:rPr>
          <w:b/>
          <w:color w:val="0A1E3D"/>
          <w:sz w:val="32"/>
        </w:rPr>
        <w:t>10. Changelog (for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320"/>
            <w:shd w:val="clear" w:fill="0A1E3D"/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2026-08-10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Fixed a bug where the Pipeline Funnel (§3) and All Regions "Pipeline by stage" table (§4) built columns from array position while filtering by a derived stage number with a gap at retired stage "03." This silently shifted every column from "Proposal submitted" onward — most seriously, the column labeled "Win" was actually showing "To Win" numbers. Fixed to match by exact stage name. KPI tiles, Win Rate, and Recent Outcomes were never affected — they always used the correct isWinStage()/isLossStage() checks.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2026-08-11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Retired FX/region-based currency conversion. Estimated Value and Target Revenue are now entered directly in SGD everywhere, with no per-region conversion. See §1.1.</w:t>
            </w:r>
          </w:p>
        </w:tc>
      </w:tr>
    </w:tbl>
    <w:p>
      <w:pPr>
        <w:spacing w:after="40"/>
      </w:pPr>
    </w:p>
    <w:p>
      <w:r>
        <w:rPr>
          <w:i/>
          <w:color w:val="4B5C74"/>
          <w:sz w:val="19"/>
        </w:rPr>
        <w:t>This file documents behavior as implemented in app.js at the date shown on the title page. If the code changes after that date, treat this as a guide to how it is meant to work, and cross-check against the function named in each section if a number still looks wrong.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