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53"/>
        <w:ind w:hanging="0" w:left="853"/>
        <w:jc w:val="left"/>
        <w:rPr>
          <w:rFonts w:ascii="Times new roman" w:hAnsi="Times new roman"/>
        </w:rPr>
      </w:pPr>
      <w:bookmarkStart w:id="0" w:name="_GoBack"/>
      <w:bookmarkEnd w:id="0"/>
      <w:r>
        <w:rPr>
          <w:rFonts w:ascii="Times new roman" w:hAnsi="Times new roman"/>
        </w:rPr>
        <w:drawing>
          <wp:inline distT="0" distB="0" distL="0" distR="0">
            <wp:extent cx="4648200" cy="1845310"/>
            <wp:effectExtent l="0" t="0" r="0" b="0"/>
            <wp:docPr id="1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845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28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Curso de Análise e Desenvolvimento de Sistemas </w:t>
      </w:r>
    </w:p>
    <w:p>
      <w:pPr>
        <w:pStyle w:val="Normal"/>
        <w:spacing w:lineRule="auto" w:line="360" w:before="0" w:after="3960"/>
        <w:ind w:hanging="0" w:left="2241"/>
        <w:rPr>
          <w:rFonts w:ascii="Times new roman" w:hAnsi="Times new roman"/>
        </w:rPr>
      </w:pPr>
      <w:r>
        <w:rPr>
          <w:rFonts w:ascii="Times new roman" w:hAnsi="Times new roman"/>
        </w:rPr>
        <w:t>Disciplina: Metodologia do Trabalho Científico</w:t>
      </w:r>
    </w:p>
    <w:p>
      <w:pPr>
        <w:pStyle w:val="Normal"/>
        <w:spacing w:lineRule="auto" w:line="360" w:before="0" w:after="272"/>
        <w:ind w:hanging="0" w:left="8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O Uso das Tecnologias Digitais por Estudantes de Análise e Desenvolvimento de Sistemas: Entre a Produtividade e o Lazer</w:t>
      </w:r>
    </w:p>
    <w:p>
      <w:pPr>
        <w:pStyle w:val="Normal"/>
        <w:spacing w:lineRule="auto" w:line="360" w:before="0" w:after="272"/>
        <w:ind w:hanging="0" w:left="8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 w:before="0" w:after="272"/>
        <w:ind w:hanging="0" w:left="8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 w:before="0" w:after="272"/>
        <w:ind w:hanging="0" w:left="8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 w:before="0" w:after="272"/>
        <w:ind w:hanging="0" w:left="8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 w:before="0" w:after="618"/>
        <w:ind w:hanging="0" w:left="1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Pau dos Ferros – RN </w:t>
      </w:r>
    </w:p>
    <w:p>
      <w:pPr>
        <w:sectPr>
          <w:type w:val="nextPage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360" w:before="0" w:after="618"/>
        <w:ind w:hanging="0" w:left="1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2025.1</w:t>
      </w:r>
    </w:p>
    <w:p>
      <w:pPr>
        <w:pStyle w:val="Normal"/>
        <w:spacing w:lineRule="auto" w:line="360" w:before="0" w:after="0"/>
        <w:ind w:hanging="10" w:left="-4"/>
        <w:rPr>
          <w:rFonts w:ascii="Times new roman" w:hAnsi="Times new roman"/>
        </w:rPr>
      </w:pPr>
      <w:r>
        <w:rPr>
          <w:rFonts w:ascii="Times new roman" w:hAnsi="Times new roman"/>
          <w:b/>
        </w:rPr>
        <w:t>Campos:</w:t>
      </w:r>
      <w:r>
        <w:rPr>
          <w:rFonts w:ascii="Times new roman" w:hAnsi="Times new roman"/>
        </w:rPr>
        <w:t xml:space="preserve"> Pau dos Ferros–RN</w:t>
      </w:r>
    </w:p>
    <w:p>
      <w:pPr>
        <w:pStyle w:val="Normal"/>
        <w:spacing w:lineRule="auto" w:line="360" w:before="0" w:after="135"/>
        <w:ind w:hanging="10" w:left="-4"/>
        <w:rPr>
          <w:rFonts w:ascii="Times new roman" w:hAnsi="Times new roman"/>
        </w:rPr>
      </w:pPr>
      <w:r>
        <w:rPr>
          <w:rFonts w:ascii="Times new roman" w:hAnsi="Times new roman"/>
          <w:b/>
        </w:rPr>
        <w:t>Cadeira:</w:t>
      </w:r>
      <w:r>
        <w:rPr>
          <w:rFonts w:ascii="Times new roman" w:hAnsi="Times new roman"/>
        </w:rPr>
        <w:t xml:space="preserve"> Metodologiado Trabalho Cientifico</w:t>
      </w:r>
    </w:p>
    <w:p>
      <w:pPr>
        <w:pStyle w:val="Normal"/>
        <w:spacing w:lineRule="auto" w:line="360" w:before="0" w:after="5354"/>
        <w:ind w:hanging="10" w:left="-4"/>
        <w:rPr>
          <w:rFonts w:ascii="Times new roman" w:hAnsi="Times new roman"/>
        </w:rPr>
      </w:pPr>
      <w:r>
        <w:rPr>
          <w:rFonts w:ascii="Times new roman" w:hAnsi="Times new roman"/>
          <w:b/>
        </w:rPr>
        <w:t>Alunos:</w:t>
      </w:r>
      <w:r>
        <w:rPr>
          <w:rFonts w:ascii="Times new roman" w:hAnsi="Times new roman"/>
        </w:rPr>
        <w:t xml:space="preserve"> Aroldo Fernandes, Vitor Junior, Gean Ferreira, Murilo Kauan e Everton Gean</w:t>
      </w:r>
    </w:p>
    <w:p>
      <w:pPr>
        <w:pStyle w:val="Normal"/>
        <w:spacing w:lineRule="auto" w:line="360" w:before="0" w:after="5354"/>
        <w:ind w:hanging="10" w:left="72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O Uso das Tecnologias Digitais por Estudantes de Análise e Desenvolvimento de Sistemas: Entre a Produtividade e o Lazer</w:t>
      </w:r>
    </w:p>
    <w:p>
      <w:pPr>
        <w:pStyle w:val="Normal"/>
        <w:spacing w:lineRule="auto" w:line="360" w:before="0" w:after="287"/>
        <w:ind w:hanging="0" w:left="-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Pau dos Ferros - RN </w:t>
      </w:r>
    </w:p>
    <w:p>
      <w:pPr>
        <w:pStyle w:val="Normal"/>
        <w:spacing w:lineRule="auto" w:line="360"/>
        <w:ind w:hanging="10" w:left="-4"/>
        <w:rPr>
          <w:rFonts w:ascii="Times new roman" w:hAnsi="Times new roman"/>
        </w:rPr>
      </w:pPr>
      <w:r>
        <w:rPr>
          <w:rFonts w:ascii="Times new roman" w:hAnsi="Times new roman"/>
        </w:rPr>
        <w:t>2025.1</w:t>
      </w:r>
    </w:p>
    <w:p>
      <w:pPr>
        <w:pStyle w:val="Heading1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INTRODUÇÃO</w:t>
      </w:r>
    </w:p>
    <w:p>
      <w:pPr>
        <w:pStyle w:val="Normal"/>
        <w:spacing w:lineRule="auto" w:line="360"/>
        <w:ind w:hanging="10" w:left="-4"/>
        <w:rPr>
          <w:rFonts w:ascii="Times new roman" w:hAnsi="Times new roman"/>
        </w:rPr>
      </w:pPr>
      <w:r>
        <w:rPr>
          <w:rFonts w:ascii="Times new roman" w:hAnsi="Times new roman"/>
        </w:rPr>
        <w:t>O contexto atual de ensino presente nos Institutos Federais é marcado pela expansão da Rede Federal de Educação Profissional, Científica e Tecnológica, que busca promover o desenvolvimento local e regional através da oferta de educação pública, gratuita e de qualidade, abrangendo desde o ensino médio até a pós-graduação. O curso superior de Análise e Desenvolvimento de Sistemas, além de estar inserido nessa expansão da educação técnica e tecnológica nas últimas duas décadas, vem sendo impulsionado pela transformação digital e pela crescente necessidade de soluções tecnológicas em diversos setores industriais, empresariais e municipais.</w:t>
      </w:r>
    </w:p>
    <w:p>
      <w:pPr>
        <w:pStyle w:val="Normal"/>
        <w:spacing w:lineRule="auto" w:line="360"/>
        <w:ind w:hanging="10" w:left="-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Diante desse contexto, ainda permanece o consenso sobre a relevância da educação na formação de profissionais qualificados para atuar na era digital. Todavia, surge a necessidade de observar atentamente o processo de formação dos futuros desenvolvedores, que estarão na vanguarda da inovação tecnológica. Segundo Kenski (2012, </w:t>
      </w:r>
      <w:r>
        <w:rPr>
          <w:rFonts w:ascii="Times new roman" w:hAnsi="Times new roman"/>
        </w:rPr>
        <w:t>p. 44</w:t>
      </w:r>
      <w:r>
        <w:rPr>
          <w:rFonts w:ascii="Times new roman" w:hAnsi="Times new roman"/>
        </w:rPr>
        <w:t>), “o simples acesso às tecnologias não garante sua utilização crítica e significativa”. Isso indica que a presença constante das tecnologias no cotidiano dos estudantes não implica, necessariamente, em seu uso produtivo ou voltado para a aprendizagem. A familiaridade com dispositivos digitais e redes conectadas, muitas vezes, não se converte em aproveitamento acadêmico.</w:t>
      </w:r>
    </w:p>
    <w:p>
      <w:pPr>
        <w:pStyle w:val="Normal"/>
        <w:spacing w:lineRule="auto" w:line="360"/>
        <w:ind w:hanging="10" w:left="-4"/>
        <w:rPr/>
      </w:pPr>
      <w:r>
        <w:rPr>
          <w:rFonts w:ascii="Times new roman" w:hAnsi="Times new roman"/>
        </w:rPr>
        <w:t>Pesquisas apontam que grande parte dos universitários utiliza as Tecnologias da Informação e Comunicação (TICs) prioritariamente para fins sociais e recreativos, e não como ferramentas de apoio à aprendizagem (</w:t>
      </w:r>
      <w:r>
        <w:rPr/>
        <w:t>Mahmood, 2009</w:t>
      </w:r>
      <w:r>
        <w:rPr>
          <w:rFonts w:ascii="Times new roman" w:hAnsi="Times new roman"/>
        </w:rPr>
        <w:t xml:space="preserve">). Essa tendência tem se intensificado diante da crescente popularização de redes sociais, plataformas de vídeo sob demanda, jogos eletrônicos e outras formas de entretenimento digital. Nicholas Carr (2011, </w:t>
      </w:r>
      <w:r>
        <w:rPr>
          <w:rFonts w:ascii="Times new roman" w:hAnsi="Times new roman"/>
        </w:rPr>
        <w:t>p. 180</w:t>
      </w:r>
      <w:r>
        <w:rPr>
          <w:rFonts w:ascii="Times new roman" w:hAnsi="Times new roman"/>
        </w:rPr>
        <w:t>) reforça essa perspectiva ao afirmar que “a lógica das redes sociais digitais é desenhada para capturar e manter a atenção do usuário, o que pode comprometer sua capacidade de concentração prolongada e foco em tarefas cognitivamente exigentes”.</w:t>
      </w:r>
    </w:p>
    <w:p>
      <w:pPr>
        <w:pStyle w:val="Normal"/>
        <w:spacing w:lineRule="auto" w:line="360"/>
        <w:ind w:hanging="10" w:left="-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Neste cenário, emerge uma questão central: em que medida os estudantes de graduação do curso de Análise e Desenvolvimento de Sistemas do Instituto Federal têm substituído o uso produtivo das tecnologias digitais por atividades recreativas?. </w:t>
      </w:r>
    </w:p>
    <w:p>
      <w:pPr>
        <w:pStyle w:val="Normal"/>
        <w:spacing w:lineRule="auto" w:line="360"/>
        <w:ind w:hanging="10" w:left="-4"/>
        <w:rPr>
          <w:rFonts w:ascii="Times new roman" w:hAnsi="Times new roman"/>
        </w:rPr>
      </w:pPr>
      <w:r>
        <w:rPr>
          <w:rFonts w:ascii="Times new roman" w:hAnsi="Times new roman"/>
        </w:rPr>
        <w:t>Com o objetivo de investigar essa hipótese, este estudo pretende analisar os hábitos de uso das tecnologias digitais por estudantes do curso de ADS, distinguindo os usos produtivos (relacionados à aprendizagem, desenvolvimento de projetos, programação, etc.) dos usos recreativos (como redes sociais, jogos, vídeos de entretenimento, entre outros). A pesquisa busca, ainda, compreender os fatores que influenciam essas escolhas e as possíveis consequências para a formação dos alunos.</w:t>
      </w:r>
    </w:p>
    <w:p>
      <w:pPr>
        <w:pStyle w:val="Normal"/>
        <w:spacing w:lineRule="auto" w:line="360" w:before="0" w:after="0"/>
        <w:ind w:hanging="10" w:left="-4"/>
        <w:rPr>
          <w:rFonts w:ascii="Times new roman" w:hAnsi="Times new roman"/>
        </w:rPr>
      </w:pPr>
      <w:r>
        <w:rPr>
          <w:rFonts w:ascii="Times new roman" w:hAnsi="Times new roman"/>
        </w:rPr>
        <w:t>Este trabalho está estruturado da seguinte forma: além desta introdução, a seção seguinte apresenta uma revisão da literatura sobre o uso das TICs no ensino superior e o comportamento digital dos estudantes universitários. Em seguida, descreve-se a metodologia adotada para a coleta e análise dos dados. Os resultados obtidos são discutidos na seção seguinte, à luz das hipóteses formuladas. Por fim, as considerações finais apresentam as conclusões da pesquisa, suas limitações e sugestões para trabalhos futuros.</w:t>
      </w:r>
      <w:r>
        <w:br w:type="page"/>
      </w:r>
    </w:p>
    <w:p>
      <w:pPr>
        <w:pStyle w:val="Normal"/>
        <w:spacing w:lineRule="auto" w:line="360" w:before="0" w:after="578"/>
        <w:ind w:hanging="0" w:left="0"/>
        <w:jc w:val="left"/>
        <w:rPr>
          <w:rFonts w:ascii="Times new roman" w:hAnsi="Times new roman"/>
          <w:i w:val="false"/>
          <w:i w:val="false"/>
          <w:iCs w:val="false"/>
        </w:rPr>
      </w:pPr>
      <w:r>
        <w:rPr>
          <w:rFonts w:ascii="Times new roman" w:hAnsi="Times new roman"/>
          <w:b/>
          <w:i w:val="false"/>
          <w:iCs w:val="false"/>
        </w:rPr>
        <w:t>REFERÊNCIAS</w:t>
      </w:r>
    </w:p>
    <w:p>
      <w:pPr>
        <w:pStyle w:val="Normal"/>
        <w:spacing w:lineRule="auto" w:line="360" w:before="0" w:after="480"/>
        <w:ind w:hanging="10" w:left="-5"/>
        <w:jc w:val="left"/>
        <w:rPr>
          <w:rFonts w:ascii="Times new roman" w:hAnsi="Times new roman"/>
          <w:i w:val="false"/>
          <w:i w:val="false"/>
          <w:iCs w:val="false"/>
        </w:rPr>
      </w:pPr>
      <w:r>
        <w:rPr>
          <w:rFonts w:ascii="Times new roman" w:hAnsi="Times new roman"/>
          <w:i w:val="false"/>
          <w:iCs w:val="false"/>
        </w:rPr>
        <w:t>CARR, Nicholas. A geração superficial: o que a internet está fazendo com nossos cérebros. Rio de Janeiro: Agir, 2011.</w:t>
      </w:r>
    </w:p>
    <w:p>
      <w:pPr>
        <w:pStyle w:val="Normal"/>
        <w:spacing w:lineRule="auto" w:line="360" w:before="0" w:after="480"/>
        <w:ind w:hanging="10" w:left="-5"/>
        <w:jc w:val="left"/>
        <w:rPr>
          <w:rFonts w:ascii="Times new roman" w:hAnsi="Times new roman"/>
          <w:i w:val="false"/>
          <w:i w:val="false"/>
          <w:iCs w:val="false"/>
        </w:rPr>
      </w:pPr>
      <w:r>
        <w:rPr>
          <w:rFonts w:ascii="Times new roman" w:hAnsi="Times new roman"/>
          <w:i w:val="false"/>
          <w:iCs w:val="false"/>
        </w:rPr>
        <w:t>KENSKI, Vani Moreira. Tecnologias e ensino presencial e a distância. 6. ed. Campinas: Papirus, 2012.</w:t>
      </w:r>
    </w:p>
    <w:p>
      <w:pPr>
        <w:pStyle w:val="Normal"/>
        <w:spacing w:lineRule="auto" w:line="360" w:before="0" w:after="480"/>
        <w:ind w:hanging="10" w:left="-5"/>
        <w:jc w:val="left"/>
        <w:rPr>
          <w:rFonts w:ascii="Times new roman" w:hAnsi="Times new roman"/>
          <w:i w:val="false"/>
          <w:i w:val="false"/>
          <w:iCs w:val="false"/>
        </w:rPr>
      </w:pPr>
      <w:r>
        <w:rPr>
          <w:rFonts w:ascii="Times new roman" w:hAnsi="Times new roman"/>
          <w:i w:val="false"/>
          <w:iCs w:val="false"/>
        </w:rPr>
        <w:t xml:space="preserve">MAHMOOD, Khalid. Gender, subject and degree differences in university students’ access, use and attitudes toward information and communication technology (ICT). </w:t>
      </w:r>
      <w:r>
        <w:rPr>
          <w:rStyle w:val="Emphasis"/>
          <w:rFonts w:ascii="Times new roman" w:hAnsi="Times new roman"/>
        </w:rPr>
        <w:t>International Journal of Education and Development using Information and Communication Technology</w:t>
      </w:r>
      <w:r>
        <w:rPr>
          <w:rFonts w:ascii="Times new roman" w:hAnsi="Times new roman"/>
          <w:i w:val="false"/>
          <w:iCs w:val="false"/>
        </w:rPr>
        <w:t>, v. 5, n. 3, p. 206–216, 2009.</w:t>
      </w:r>
    </w:p>
    <w:sectPr>
      <w:footerReference w:type="default" r:id="rId3"/>
      <w:type w:val="nextPage"/>
      <w:pgSz w:w="11906" w:h="16838"/>
      <w:pgMar w:left="1802" w:right="1809" w:gutter="0" w:header="0" w:top="1390" w:footer="361" w:bottom="140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441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64" w:before="0" w:after="441"/>
      <w:ind w:hanging="10" w:left="2111"/>
      <w:jc w:val="both"/>
    </w:pPr>
    <w:rPr>
      <w:rFonts w:ascii="Calibri" w:hAnsi="Calibri" w:eastAsia="Calibri" w:cs="Calibri"/>
      <w:color w:val="000000"/>
      <w:kern w:val="0"/>
      <w:sz w:val="24"/>
      <w:szCs w:val="22"/>
      <w:lang w:val="en-US" w:eastAsia="en-US" w:bidi="ar-SA"/>
    </w:rPr>
  </w:style>
  <w:style w:type="paragraph" w:styleId="Heading1">
    <w:name w:val="heading 1"/>
    <w:next w:val="Normal"/>
    <w:link w:val="Heading1Char"/>
    <w:uiPriority w:val="9"/>
    <w:unhideWhenUsed/>
    <w:qFormat/>
    <w:pPr>
      <w:keepNext w:val="true"/>
      <w:keepLines/>
      <w:widowControl/>
      <w:bidi w:val="0"/>
      <w:spacing w:lineRule="auto" w:line="259" w:before="0" w:after="297"/>
      <w:jc w:val="left"/>
      <w:outlineLvl w:val="0"/>
    </w:pPr>
    <w:rPr>
      <w:rFonts w:ascii="Calibri" w:hAnsi="Calibri" w:eastAsia="Calibri" w:cs="Calibri"/>
      <w:b/>
      <w:color w:val="000000"/>
      <w:kern w:val="0"/>
      <w:sz w:val="26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qFormat/>
    <w:rPr>
      <w:rFonts w:ascii="Calibri" w:hAnsi="Calibri" w:eastAsia="Calibri" w:cs="Calibri"/>
      <w:b/>
      <w:color w:val="000000"/>
      <w:sz w:val="26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alhoerodap">
    <w:name w:val="Cabeçalho e rodapé"/>
    <w:basedOn w:val="Normal"/>
    <w:qFormat/>
    <w:pPr>
      <w:suppressLineNumbers/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Cabealhoerodap"/>
    <w:pPr>
      <w:suppressLineNumbers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LibreOffice/25.2.2.2$Linux_X86_64 LibreOffice_project/520$Build-2</Application>
  <AppVersion>15.0000</AppVersion>
  <DocSecurity>4</DocSecurity>
  <Pages>5</Pages>
  <Words>626</Words>
  <Characters>3720</Characters>
  <CharactersWithSpaces>4328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2025-07-16T13:18:00Z</dcterms:created>
  <dc:creator>word</dc:creator>
  <dc:description/>
  <dc:language>pt-BR</dc:language>
  <cp:lastModifiedBy/>
  <cp:lastPrinted>2025-07-16T11:04:37Z</cp:lastPrinted>
  <dcterms:modified xsi:type="dcterms:W3CDTF">2025-07-16T11:06:23Z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