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</w:rPr>
        <w:drawing>
          <wp:inline distB="114300" distT="114300" distL="114300" distR="114300">
            <wp:extent cx="4394200" cy="180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spacing w:after="200" w:before="0" w:line="240" w:lineRule="auto"/>
        <w:jc w:val="center"/>
        <w:rPr/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j4vjj9bd7vzj" w:id="0"/>
      <w:bookmarkEnd w:id="0"/>
      <w:r w:rsidDel="00000000" w:rsidR="00000000" w:rsidRPr="00000000">
        <w:rPr>
          <w:rtl w:val="0"/>
        </w:rPr>
        <w:t xml:space="preserve">Mapa de Actores del Proyecto - Coherev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200" w:line="240" w:lineRule="auto"/>
        <w:jc w:val="center"/>
        <w:rPr>
          <w:rFonts w:ascii="Play" w:cs="Play" w:eastAsia="Play" w:hAnsi="Play"/>
          <w:sz w:val="56"/>
          <w:szCs w:val="56"/>
        </w:rPr>
      </w:pPr>
      <w:bookmarkStart w:colFirst="0" w:colLast="0" w:name="_j4vjj9bd7vz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Julian Tapia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Benjamin Herrera</w:t>
      </w:r>
    </w:p>
    <w:p w:rsidR="00000000" w:rsidDel="00000000" w:rsidP="00000000" w:rsidRDefault="00000000" w:rsidRPr="00000000" w14:paraId="0000000C">
      <w:pPr>
        <w:spacing w:line="240" w:lineRule="auto"/>
        <w:ind w:left="3600" w:firstLine="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40" w:lineRule="auto"/>
        <w:ind w:left="3600" w:firstLine="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Docente: Cindy Betzabé Contador Cisterna</w:t>
      </w:r>
    </w:p>
    <w:p w:rsidR="00000000" w:rsidDel="00000000" w:rsidP="00000000" w:rsidRDefault="00000000" w:rsidRPr="00000000" w14:paraId="0000000F">
      <w:pPr>
        <w:spacing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21/10/2026</w:t>
      </w:r>
    </w:p>
    <w:p w:rsidR="00000000" w:rsidDel="00000000" w:rsidP="00000000" w:rsidRDefault="00000000" w:rsidRPr="00000000" w14:paraId="00000014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Índice de contenido.</w:t>
      </w:r>
    </w:p>
    <w:p w:rsidR="00000000" w:rsidDel="00000000" w:rsidP="00000000" w:rsidRDefault="00000000" w:rsidRPr="00000000" w14:paraId="00000015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8056285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34l4g786h0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Universo de actores</w:t>
              <w:tab/>
            </w:r>
          </w:hyperlink>
          <w:r w:rsidDel="00000000" w:rsidR="00000000" w:rsidRPr="00000000">
            <w:fldChar w:fldCharType="begin"/>
            <w:instrText xml:space="preserve"> PAGEREF _c34l4g786h0c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332yg2m6k6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Roles funcionales del sistema</w:t>
              <w:tab/>
            </w:r>
          </w:hyperlink>
          <w:r w:rsidDel="00000000" w:rsidR="00000000" w:rsidRPr="00000000">
            <w:fldChar w:fldCharType="begin"/>
            <w:instrText xml:space="preserve"> PAGEREF _7332yg2m6k60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ittf5hrzx6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Matriz poder-interés</w:t>
              <w:tab/>
            </w:r>
          </w:hyperlink>
          <w:r w:rsidDel="00000000" w:rsidR="00000000" w:rsidRPr="00000000">
            <w:fldChar w:fldCharType="begin"/>
            <w:instrText xml:space="preserve"> PAGEREF _fittf5hrzx68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znsnctefe8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Convenciones de estrategia</w:t>
              <w:tab/>
            </w:r>
          </w:hyperlink>
          <w:r w:rsidDel="00000000" w:rsidR="00000000" w:rsidRPr="00000000">
            <w:fldChar w:fldCharType="begin"/>
            <w:instrText xml:space="preserve"> PAGEREF _5znsnctefe81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ualhfpci7i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Diagrama de relaciones</w:t>
              <w:tab/>
            </w:r>
          </w:hyperlink>
          <w:r w:rsidDel="00000000" w:rsidR="00000000" w:rsidRPr="00000000">
            <w:fldChar w:fldCharType="begin"/>
            <w:instrText xml:space="preserve"> PAGEREF _6ualhfpci7id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vvg4un0k82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Marco institucional y académico</w:t>
              <w:tab/>
            </w:r>
          </w:hyperlink>
          <w:r w:rsidDel="00000000" w:rsidR="00000000" w:rsidRPr="00000000">
            <w:fldChar w:fldCharType="begin"/>
            <w:instrText xml:space="preserve"> PAGEREF _6vvg4un0k820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0qw2ebjhw9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Entrega del producto a los usuarios</w:t>
              <w:tab/>
            </w:r>
          </w:hyperlink>
          <w:r w:rsidDel="00000000" w:rsidR="00000000" w:rsidRPr="00000000">
            <w:fldChar w:fldCharType="begin"/>
            <w:instrText xml:space="preserve"> PAGEREF _20qw2ebjhw9i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iite5djhw7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Plan de comunicación</w:t>
              <w:tab/>
            </w:r>
          </w:hyperlink>
          <w:r w:rsidDel="00000000" w:rsidR="00000000" w:rsidRPr="00000000">
            <w:fldChar w:fldCharType="begin"/>
            <w:instrText xml:space="preserve"> PAGEREF _5iite5djhw7p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pjtiduvksm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Intereses y expectativas clave</w:t>
              <w:tab/>
            </w:r>
          </w:hyperlink>
          <w:r w:rsidDel="00000000" w:rsidR="00000000" w:rsidRPr="00000000">
            <w:fldChar w:fldCharType="begin"/>
            <w:instrText xml:space="preserve"> PAGEREF _3pjtiduvksml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p93ioi5jln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Académicos (STK-001, STK-002)</w:t>
              <w:tab/>
            </w:r>
          </w:hyperlink>
          <w:r w:rsidDel="00000000" w:rsidR="00000000" w:rsidRPr="00000000">
            <w:fldChar w:fldCharType="begin"/>
            <w:instrText xml:space="preserve"> PAGEREF _op93ioi5jln2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8ggbfb1l8a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Equipo de desarrollo (STK-003, STK-004, STK-005)</w:t>
              <w:tab/>
            </w:r>
          </w:hyperlink>
          <w:r w:rsidDel="00000000" w:rsidR="00000000" w:rsidRPr="00000000">
            <w:fldChar w:fldCharType="begin"/>
            <w:instrText xml:space="preserve"> PAGEREF _88ggbfb1l8av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u0ye02b41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Usuarios finales (STK-006, STK-007, STK-008, STK-009)</w:t>
              <w:tab/>
            </w:r>
          </w:hyperlink>
          <w:r w:rsidDel="00000000" w:rsidR="00000000" w:rsidRPr="00000000">
            <w:fldChar w:fldCharType="begin"/>
            <w:instrText xml:space="preserve"> PAGEREF _ju0ye02b41f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7zzktt83oo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Sponsor y soporte (STK-010, STK-011)</w:t>
              <w:tab/>
            </w:r>
          </w:hyperlink>
          <w:r w:rsidDel="00000000" w:rsidR="00000000" w:rsidRPr="00000000">
            <w:fldChar w:fldCharType="begin"/>
            <w:instrText xml:space="preserve"> PAGEREF _17zzktt83oo5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200" w:line="240" w:lineRule="auto"/>
        <w:rPr/>
      </w:pPr>
      <w:bookmarkStart w:colFirst="0" w:colLast="0" w:name="_c34l4g786h0c" w:id="1"/>
      <w:bookmarkEnd w:id="1"/>
      <w:r w:rsidDel="00000000" w:rsidR="00000000" w:rsidRPr="00000000">
        <w:rPr>
          <w:rtl w:val="0"/>
        </w:rPr>
        <w:t xml:space="preserve">1. Universo de actores</w:t>
      </w:r>
    </w:p>
    <w:p w:rsidR="00000000" w:rsidDel="00000000" w:rsidP="00000000" w:rsidRDefault="00000000" w:rsidRPr="00000000" w14:paraId="00000025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 identifican 11 actores distribuidos entre el equipo de proyecto, el cuerpo académico de DuocUC,</w:t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los usuarios finales del producto Coherev y los soportes técnicos u organizativos.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2280"/>
        <w:gridCol w:w="1500"/>
        <w:gridCol w:w="3810"/>
        <w:tblGridChange w:id="0">
          <w:tblGrid>
            <w:gridCol w:w="1170"/>
            <w:gridCol w:w="2280"/>
            <w:gridCol w:w="1500"/>
            <w:gridCol w:w="3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140" w:line="240" w:lineRule="auto"/>
              <w:ind w:left="220" w:firstLine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140" w:line="240" w:lineRule="auto"/>
              <w:ind w:left="240" w:firstLine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140" w:line="240" w:lineRule="auto"/>
              <w:ind w:left="280" w:firstLine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140" w:line="240" w:lineRule="auto"/>
              <w:ind w:left="360" w:firstLine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 en el proyecto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120" w:line="266.4" w:lineRule="auto"/>
              <w:ind w:left="220" w:right="200" w:firstLine="0"/>
              <w:rPr/>
            </w:pPr>
            <w:r w:rsidDel="00000000" w:rsidR="00000000" w:rsidRPr="00000000">
              <w:rPr>
                <w:rtl w:val="0"/>
              </w:rPr>
              <w:t xml:space="preserve">STK-0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120" w:line="266.4" w:lineRule="auto"/>
              <w:ind w:left="240" w:firstLine="0"/>
              <w:rPr/>
            </w:pPr>
            <w:r w:rsidDel="00000000" w:rsidR="00000000" w:rsidRPr="00000000">
              <w:rPr>
                <w:rtl w:val="0"/>
              </w:rPr>
              <w:t xml:space="preserve">Cindy Betzabé Contador Cisterna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spacing w:after="0" w:before="0" w:lin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spacing w:after="0" w:before="0"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Docente guía / Sponsor académico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120" w:line="266.4" w:lineRule="auto"/>
              <w:ind w:left="220" w:right="200" w:firstLine="0"/>
              <w:rPr/>
            </w:pPr>
            <w:r w:rsidDel="00000000" w:rsidR="00000000" w:rsidRPr="00000000">
              <w:rPr>
                <w:rtl w:val="0"/>
              </w:rPr>
              <w:t xml:space="preserve">STK-0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120" w:line="266.4" w:lineRule="auto"/>
              <w:ind w:left="240" w:right="60" w:firstLine="0"/>
              <w:rPr/>
            </w:pPr>
            <w:r w:rsidDel="00000000" w:rsidR="00000000" w:rsidRPr="00000000">
              <w:rPr>
                <w:rtl w:val="0"/>
              </w:rPr>
              <w:t xml:space="preserve">Comisión evaluadora / DuocUC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spacing w:after="0" w:before="0" w:lin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spacing w:after="0" w:before="0"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Aprobación del título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120" w:line="266.4" w:lineRule="auto"/>
              <w:ind w:left="220" w:right="200" w:firstLine="0"/>
              <w:rPr/>
            </w:pPr>
            <w:r w:rsidDel="00000000" w:rsidR="00000000" w:rsidRPr="00000000">
              <w:rPr>
                <w:rtl w:val="0"/>
              </w:rPr>
              <w:t xml:space="preserve">STK-0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spacing w:after="0" w:before="0" w:line="240" w:lineRule="auto"/>
              <w:ind w:left="240" w:firstLine="0"/>
              <w:rPr/>
            </w:pPr>
            <w:r w:rsidDel="00000000" w:rsidR="00000000" w:rsidRPr="00000000">
              <w:rPr>
                <w:rtl w:val="0"/>
              </w:rPr>
              <w:t xml:space="preserve">Benjamín Herrera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spacing w:after="0" w:before="0" w:lin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spacing w:after="0" w:before="0"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Desarrollador Backend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120" w:line="266.4" w:lineRule="auto"/>
              <w:ind w:left="220" w:right="200" w:firstLine="0"/>
              <w:rPr/>
            </w:pPr>
            <w:r w:rsidDel="00000000" w:rsidR="00000000" w:rsidRPr="00000000">
              <w:rPr>
                <w:rtl w:val="0"/>
              </w:rPr>
              <w:t xml:space="preserve">STK-0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spacing w:after="0" w:before="0" w:line="240" w:lineRule="auto"/>
              <w:ind w:left="240" w:firstLine="0"/>
              <w:rPr/>
            </w:pPr>
            <w:r w:rsidDel="00000000" w:rsidR="00000000" w:rsidRPr="00000000">
              <w:rPr>
                <w:rtl w:val="0"/>
              </w:rPr>
              <w:t xml:space="preserve">Julián Tapia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spacing w:after="0" w:before="0" w:lin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spacing w:after="0" w:before="0"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Desarrollador Frontend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120" w:line="266.4" w:lineRule="auto"/>
              <w:ind w:left="220" w:right="200" w:firstLine="0"/>
              <w:rPr/>
            </w:pPr>
            <w:r w:rsidDel="00000000" w:rsidR="00000000" w:rsidRPr="00000000">
              <w:rPr>
                <w:rtl w:val="0"/>
              </w:rPr>
              <w:t xml:space="preserve">STK-0 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120" w:line="266.4" w:lineRule="auto"/>
              <w:ind w:left="240" w:firstLine="0"/>
              <w:rPr/>
            </w:pPr>
            <w:r w:rsidDel="00000000" w:rsidR="00000000" w:rsidRPr="00000000">
              <w:rPr>
                <w:rtl w:val="0"/>
              </w:rPr>
              <w:t xml:space="preserve">Equipo de desarrollo (003 + 004)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spacing w:after="0" w:before="0" w:lin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spacing w:after="0" w:before="0"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Implementación técnica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120" w:line="266.4" w:lineRule="auto"/>
              <w:ind w:left="220" w:right="200" w:firstLine="0"/>
              <w:rPr/>
            </w:pPr>
            <w:r w:rsidDel="00000000" w:rsidR="00000000" w:rsidRPr="00000000">
              <w:rPr>
                <w:rtl w:val="0"/>
              </w:rPr>
              <w:t xml:space="preserve">STK-0 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spacing w:after="0" w:before="0" w:line="240" w:lineRule="auto"/>
              <w:ind w:left="240" w:firstLine="0"/>
              <w:rPr/>
            </w:pPr>
            <w:r w:rsidDel="00000000" w:rsidR="00000000" w:rsidRPr="00000000">
              <w:rPr>
                <w:rtl w:val="0"/>
              </w:rPr>
              <w:t xml:space="preserve">Usuario rol 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spacing w:after="0" w:before="0" w:lin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Involucrado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spacing w:after="0" w:before="0"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Usuario final — perfil Administrador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120" w:line="266.4" w:lineRule="auto"/>
              <w:ind w:left="220" w:right="200" w:firstLine="0"/>
              <w:rPr/>
            </w:pPr>
            <w:r w:rsidDel="00000000" w:rsidR="00000000" w:rsidRPr="00000000">
              <w:rPr>
                <w:rtl w:val="0"/>
              </w:rPr>
              <w:t xml:space="preserve">STK-0 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ind w:left="240" w:firstLine="0"/>
              <w:rPr/>
            </w:pPr>
            <w:r w:rsidDel="00000000" w:rsidR="00000000" w:rsidRPr="00000000">
              <w:rPr>
                <w:rtl w:val="0"/>
              </w:rPr>
              <w:t xml:space="preserve">Usuario rol Líder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spacing w:after="0" w:before="0" w:lin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Involucrado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spacing w:after="0" w:before="0"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Usuario final — perfil Líder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120" w:line="266.4" w:lineRule="auto"/>
              <w:ind w:left="220" w:right="200" w:firstLine="0"/>
              <w:rPr/>
            </w:pPr>
            <w:r w:rsidDel="00000000" w:rsidR="00000000" w:rsidRPr="00000000">
              <w:rPr>
                <w:rtl w:val="0"/>
              </w:rPr>
              <w:t xml:space="preserve">STK-0 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spacing w:after="0" w:before="0" w:line="240" w:lineRule="auto"/>
              <w:ind w:left="240" w:firstLine="0"/>
              <w:rPr/>
            </w:pPr>
            <w:r w:rsidDel="00000000" w:rsidR="00000000" w:rsidRPr="00000000">
              <w:rPr>
                <w:rtl w:val="0"/>
              </w:rPr>
              <w:t xml:space="preserve">Usuario rol Colaborador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spacing w:after="0" w:before="0" w:lin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Involucrado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spacing w:after="0" w:before="0"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Usuario final — perfil Colaborador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120" w:line="266.4" w:lineRule="auto"/>
              <w:ind w:left="220" w:right="200" w:firstLine="0"/>
              <w:rPr/>
            </w:pPr>
            <w:r w:rsidDel="00000000" w:rsidR="00000000" w:rsidRPr="00000000">
              <w:rPr>
                <w:rtl w:val="0"/>
              </w:rPr>
              <w:t xml:space="preserve">STK-0 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spacing w:after="0" w:before="0" w:line="240" w:lineRule="auto"/>
              <w:ind w:left="240" w:firstLine="0"/>
              <w:rPr/>
            </w:pPr>
            <w:r w:rsidDel="00000000" w:rsidR="00000000" w:rsidRPr="00000000">
              <w:rPr>
                <w:rtl w:val="0"/>
              </w:rPr>
              <w:t xml:space="preserve">Usuario rol Nuevo Ingreso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spacing w:after="0" w:before="0" w:lin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Involucrado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spacing w:after="0" w:before="0"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Usuario final — perfil Nuevo Ingreso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120" w:line="266.4" w:lineRule="auto"/>
              <w:ind w:left="220" w:right="200" w:firstLine="0"/>
              <w:rPr/>
            </w:pPr>
            <w:r w:rsidDel="00000000" w:rsidR="00000000" w:rsidRPr="00000000">
              <w:rPr>
                <w:rtl w:val="0"/>
              </w:rPr>
              <w:t xml:space="preserve">STK-0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120" w:line="266.4" w:lineRule="auto"/>
              <w:ind w:left="240" w:firstLine="0"/>
              <w:rPr/>
            </w:pPr>
            <w:r w:rsidDel="00000000" w:rsidR="00000000" w:rsidRPr="00000000">
              <w:rPr>
                <w:rtl w:val="0"/>
              </w:rPr>
              <w:t xml:space="preserve">Dirección / Sponsor de la 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spacing w:after="0" w:before="0" w:lin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spacing w:after="0" w:before="0"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Patrocinador interno de Coherev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120" w:line="266.4" w:lineRule="auto"/>
              <w:ind w:left="220" w:right="200" w:firstLine="0"/>
              <w:rPr/>
            </w:pPr>
            <w:r w:rsidDel="00000000" w:rsidR="00000000" w:rsidRPr="00000000">
              <w:rPr>
                <w:rtl w:val="0"/>
              </w:rPr>
              <w:t xml:space="preserve">STK-0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spacing w:after="0" w:before="0" w:line="240" w:lineRule="auto"/>
              <w:ind w:left="240" w:firstLine="0"/>
              <w:rPr/>
            </w:pPr>
            <w:r w:rsidDel="00000000" w:rsidR="00000000" w:rsidRPr="00000000">
              <w:rPr>
                <w:rtl w:val="0"/>
              </w:rPr>
              <w:t xml:space="preserve">Área TI / soporte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spacing w:after="0" w:before="0" w:lin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20"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spacing w:after="0" w:before="0"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Soporte técnico del entorno local</w:t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spacing w:after="200" w:line="240" w:lineRule="auto"/>
        <w:rPr/>
      </w:pPr>
      <w:bookmarkStart w:colFirst="0" w:colLast="0" w:name="_9t3jhqpradix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200" w:line="240" w:lineRule="auto"/>
        <w:rPr/>
      </w:pPr>
      <w:bookmarkStart w:colFirst="0" w:colLast="0" w:name="_7332yg2m6k60" w:id="3"/>
      <w:bookmarkEnd w:id="3"/>
      <w:r w:rsidDel="00000000" w:rsidR="00000000" w:rsidRPr="00000000">
        <w:rPr>
          <w:rtl w:val="0"/>
        </w:rPr>
        <w:t xml:space="preserve">2. Roles funcionales del sistema </w:t>
      </w:r>
    </w:p>
    <w:p w:rsidR="00000000" w:rsidDel="00000000" w:rsidP="00000000" w:rsidRDefault="00000000" w:rsidRPr="00000000" w14:paraId="00000078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Los cuatro roles modelados en backend/app/Models/Role.php y sembrados por</w:t>
      </w:r>
    </w:p>
    <w:p w:rsidR="00000000" w:rsidDel="00000000" w:rsidP="00000000" w:rsidRDefault="00000000" w:rsidRPr="00000000" w14:paraId="00000079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backend/database/seeders/RoleSeeder.php: las constantes canónicas controlan permisos en toda la aplicación.</w:t>
      </w:r>
    </w:p>
    <w:p w:rsidR="00000000" w:rsidDel="00000000" w:rsidP="00000000" w:rsidRDefault="00000000" w:rsidRPr="00000000" w14:paraId="0000007A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650"/>
        <w:gridCol w:w="1650"/>
        <w:gridCol w:w="3540"/>
        <w:tblGridChange w:id="0">
          <w:tblGrid>
            <w:gridCol w:w="1920"/>
            <w:gridCol w:w="1650"/>
            <w:gridCol w:w="1650"/>
            <w:gridCol w:w="354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Constante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Puede hacer un anuncio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Permisos relevantes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ROLE_ADMINISTRA 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sobre usuarios, roles, departamentos y documentos; limpieza administrativa de mensajes.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ROLE_LIDER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Publicar anuncios de su departamento; gestionar tareas; sin acceso a CRUD administrativo.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ROLE_COLABORAD 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Lectura de documentos visibles; chat; comentar publicaciones visibles de su departamento.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ROLE_NUEVO_ING 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 Ingreso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destacado al Panel de Novedades; contenido público; onboarding_pendiente = true por defecto.</w:t>
            </w:r>
          </w:p>
        </w:tc>
      </w:tr>
    </w:tbl>
    <w:p w:rsidR="00000000" w:rsidDel="00000000" w:rsidP="00000000" w:rsidRDefault="00000000" w:rsidRPr="00000000" w14:paraId="000000A1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200" w:line="240" w:lineRule="auto"/>
        <w:rPr/>
      </w:pPr>
      <w:bookmarkStart w:colFirst="0" w:colLast="0" w:name="_gtwy1euwvp6k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200" w:line="240" w:lineRule="auto"/>
        <w:rPr/>
      </w:pPr>
      <w:bookmarkStart w:colFirst="0" w:colLast="0" w:name="_fittf5hrzx68" w:id="5"/>
      <w:bookmarkEnd w:id="5"/>
      <w:r w:rsidDel="00000000" w:rsidR="00000000" w:rsidRPr="00000000">
        <w:rPr>
          <w:rtl w:val="0"/>
        </w:rPr>
        <w:t xml:space="preserve">3. Matriz poder-interés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La clasificación combina el nivel de interés del actor con su capacidad de influencia sobre el proyecto. Las estrategias derivan de los cuadrantes clásicos (alto/bajo poder × alto/bajo interés).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2340"/>
        <w:gridCol w:w="990"/>
        <w:gridCol w:w="1140"/>
        <w:gridCol w:w="1155"/>
        <w:gridCol w:w="2265"/>
        <w:tblGridChange w:id="0">
          <w:tblGrid>
            <w:gridCol w:w="855"/>
            <w:gridCol w:w="2340"/>
            <w:gridCol w:w="990"/>
            <w:gridCol w:w="1140"/>
            <w:gridCol w:w="1155"/>
            <w:gridCol w:w="226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Interés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Influencia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Poder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Estrategia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 guía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de cerca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Comisión evaluadora / DuocUC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de cerca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Benjamín Herrera (Backend)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de cerca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Julián Tapia (Frontend)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de cerca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 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de cerca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 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(usuario)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satisfechos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 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(usuario)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satisfechos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 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Colaborador (usuario)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informados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 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 Ingreso (usuario)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informados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/ Sponsor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satisfechos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Área TI / soporte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Monitorear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5znsnctefe81" w:id="6"/>
      <w:bookmarkEnd w:id="6"/>
      <w:r w:rsidDel="00000000" w:rsidR="00000000" w:rsidRPr="00000000">
        <w:rPr>
          <w:rtl w:val="0"/>
        </w:rPr>
        <w:t xml:space="preserve">Convenciones de estrategia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• Gestionar de cerca — Alto poder y alto interés. Involucrar en decisiones, checkpoints y demo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de iteración.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• Mantener satisfechos — Alto poder, interés medio/bajo. Reportar avance con foco en hitos 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riesgos.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• Mantener informados — Bajo poder, alto interés. Comunicación periódica suficiente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(reuniones de usuario, métricas).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• Monitorear — Bajo poder y bajo interés. Mínimo esfuerzo: documentación accesible, sin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comunicación proactiva.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/>
      </w:pPr>
      <w:bookmarkStart w:colFirst="0" w:colLast="0" w:name="_gv7yfmdnogz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rPr/>
      </w:pPr>
      <w:bookmarkStart w:colFirst="0" w:colLast="0" w:name="_6ualhfpci7id" w:id="8"/>
      <w:bookmarkEnd w:id="8"/>
      <w:r w:rsidDel="00000000" w:rsidR="00000000" w:rsidRPr="00000000">
        <w:rPr>
          <w:rtl w:val="0"/>
        </w:rPr>
        <w:t xml:space="preserve">4. Diagrama de relaciones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Cinco grupos de actores definen la dinámica del proyecto: el cuerpo académico de DuocUC, el equipo de desarrollo, el sponsor de la organización, los usuarios finales del producto Coherev y el soporte técnico. Por claridad visual, el mapa se descompone en dos vistas: el lado institucional y la entrega al usuario final.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6vvg4un0k820" w:id="9"/>
      <w:bookmarkEnd w:id="9"/>
      <w:r w:rsidDel="00000000" w:rsidR="00000000" w:rsidRPr="00000000">
        <w:rPr>
          <w:rtl w:val="0"/>
        </w:rPr>
        <w:t xml:space="preserve">4.1. Marco institucional y académico </w:t>
      </w:r>
    </w:p>
    <w:p w:rsidR="00000000" w:rsidDel="00000000" w:rsidP="00000000" w:rsidRDefault="00000000" w:rsidRPr="00000000" w14:paraId="0000013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99188" cy="522217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188" cy="5222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Figure 1: Figura 1. Relaciones entre academia, sponsor, equipo y soporte. </w:t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w65qpbub5h58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20qw2ebjhw9i" w:id="11"/>
      <w:bookmarkEnd w:id="11"/>
      <w:r w:rsidDel="00000000" w:rsidR="00000000" w:rsidRPr="00000000">
        <w:rPr>
          <w:rtl w:val="0"/>
        </w:rPr>
        <w:t xml:space="preserve">4.2. Entrega del producto a los usuarios</w:t>
      </w:r>
    </w:p>
    <w:p w:rsidR="00000000" w:rsidDel="00000000" w:rsidP="00000000" w:rsidRDefault="00000000" w:rsidRPr="00000000" w14:paraId="000001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44979" cy="413660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4979" cy="4136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/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Figure 2: Figura 2. Coherev es entregado por el equipo y consumido por los cuatro roles canónicos.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bookmarkStart w:colFirst="0" w:colLast="0" w:name="_njby3w1p5uyh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rPr/>
      </w:pPr>
      <w:bookmarkStart w:colFirst="0" w:colLast="0" w:name="_5iite5djhw7p" w:id="13"/>
      <w:bookmarkEnd w:id="13"/>
      <w:r w:rsidDel="00000000" w:rsidR="00000000" w:rsidRPr="00000000">
        <w:rPr>
          <w:rtl w:val="0"/>
        </w:rPr>
        <w:t xml:space="preserve">5. Plan de comunicación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La cadencia combina rituales ágiles cortos (daily, pull semanal, demo) con checkpoints académicos y reportes ejecutivos. Todos los plazos siguen el principio de iteraciones outcome-driven definido en el ROADMAP.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310"/>
        <w:gridCol w:w="2055"/>
        <w:gridCol w:w="2400"/>
        <w:tblGridChange w:id="0">
          <w:tblGrid>
            <w:gridCol w:w="2010"/>
            <w:gridCol w:w="2310"/>
            <w:gridCol w:w="2055"/>
            <w:gridCol w:w="24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2a596b" w:space="0" w:sz="12" w:val="single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Actividad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2a596b" w:space="0" w:sz="12" w:val="single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Frecuencia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2a596b" w:space="0" w:sz="12" w:val="single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Participantes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2a596b" w:space="0" w:sz="12" w:val="single"/>
              <w:right w:color="cccccc" w:space="0" w:sz="6" w:val="single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Canal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 (15 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STK-003, STK-004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Reunión breve / chat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Pull 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Semanal (lunes)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STK-003, STK-004, STK-005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Reunión de seguimiento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 de cierre de iteración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cumplir DoD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STK-005 + STK-001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 corta (20 min)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Checkpoint académico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Antes de cada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STK-001 + STK-005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Reunión de validación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Actualización del tablero Trello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Trello (BACKLOG.md como fuente)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 4 (al cierre)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STK-006/007/008/009</w:t>
            </w:r>
          </w:p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STK-005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moderada + acta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a Dirección / Sponsor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Trimestral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STK-010, STK-005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Informe ejecutivo escrito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rPr/>
      </w:pPr>
      <w:bookmarkStart w:colFirst="0" w:colLast="0" w:name="_3pjtiduvksml" w:id="14"/>
      <w:bookmarkEnd w:id="14"/>
      <w:r w:rsidDel="00000000" w:rsidR="00000000" w:rsidRPr="00000000">
        <w:rPr>
          <w:rtl w:val="0"/>
        </w:rPr>
        <w:t xml:space="preserve">6. Intereses y expectativas clave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Cada actor tiene intereses diferenciados que el equipo debe gestionar para sostener el compromiso a lo largo del proyecto.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op93ioi5jln2" w:id="15"/>
      <w:bookmarkEnd w:id="15"/>
      <w:r w:rsidDel="00000000" w:rsidR="00000000" w:rsidRPr="00000000">
        <w:rPr>
          <w:rtl w:val="0"/>
        </w:rPr>
        <w:t xml:space="preserve">Académicos (STK-001, STK-002)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STK-001 (Docente guía):</w:t>
      </w:r>
      <w:r w:rsidDel="00000000" w:rsidR="00000000" w:rsidRPr="00000000">
        <w:rPr>
          <w:rtl w:val="0"/>
        </w:rPr>
        <w:t xml:space="preserve"> Evaluar cada entrega, velar por el formato del capstone y validar las observaciones 2, 5, 6, 7, 8, 11, 13, 14 y 15 registradas en BACKLOG.md y ROADMAP.md. 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STK-002 (Comisión evaluadora):</w:t>
      </w:r>
      <w:r w:rsidDel="00000000" w:rsidR="00000000" w:rsidRPr="00000000">
        <w:rPr>
          <w:rtl w:val="0"/>
        </w:rPr>
        <w:t xml:space="preserve"> Recibir un proyecto completo, funcional, documentado y presentable para la defensa del título. </w:t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88ggbfb1l8av" w:id="16"/>
      <w:bookmarkEnd w:id="16"/>
      <w:r w:rsidDel="00000000" w:rsidR="00000000" w:rsidRPr="00000000">
        <w:rPr>
          <w:rtl w:val="0"/>
        </w:rPr>
        <w:t xml:space="preserve">Equipo de desarrollo (STK-003, STK-004, STK-005)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STK-003 (Backend):</w:t>
      </w:r>
      <w:r w:rsidDel="00000000" w:rsidR="00000000" w:rsidRPr="00000000">
        <w:rPr>
          <w:rtl w:val="0"/>
        </w:rPr>
        <w:t xml:space="preserve"> Entregar API Laravel segura, con tests PHPUnit pasando y tiempo real (Reverb) funcional.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STK-004 (Frontend):</w:t>
      </w:r>
      <w:r w:rsidDel="00000000" w:rsidR="00000000" w:rsidRPr="00000000">
        <w:rPr>
          <w:rtl w:val="0"/>
        </w:rPr>
        <w:t xml:space="preserve"> Entregar UI Next.js completa, con marca Coherev, accesible (WCAG AA objetivo de Iter 5) y responsive.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STK-005 (Equipo):</w:t>
      </w:r>
      <w:r w:rsidDel="00000000" w:rsidR="00000000" w:rsidRPr="00000000">
        <w:rPr>
          <w:rtl w:val="0"/>
        </w:rPr>
        <w:t xml:space="preserve"> Cumplir el Definition of Done universal: código mergeado, tests pasando, verificación manual, tarjeta en Hecho y BACKLOG.md actualizado con fecha de cierre.</w:t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ju0ye02b41f" w:id="17"/>
      <w:bookmarkEnd w:id="17"/>
      <w:r w:rsidDel="00000000" w:rsidR="00000000" w:rsidRPr="00000000">
        <w:rPr>
          <w:rtl w:val="0"/>
        </w:rPr>
        <w:t xml:space="preserve">Usuarios finales (STK-006, STK-007, STK-008, STK-009)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STK-006 (Administrador):</w:t>
      </w:r>
      <w:r w:rsidDel="00000000" w:rsidR="00000000" w:rsidRPr="00000000">
        <w:rPr>
          <w:rtl w:val="0"/>
        </w:rPr>
        <w:t xml:space="preserve"> Gestionar usuarios, roles, departamentos, documentos y todo el contenido.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STK-007 (Líder):</w:t>
      </w:r>
      <w:r w:rsidDel="00000000" w:rsidR="00000000" w:rsidRPr="00000000">
        <w:rPr>
          <w:rtl w:val="0"/>
        </w:rPr>
        <w:t xml:space="preserve"> Coordinar su equipo: tareas, publicaciones de departamento y consulta de estructura.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STK-008 (Colaborador):</w:t>
      </w:r>
      <w:r w:rsidDel="00000000" w:rsidR="00000000" w:rsidRPr="00000000">
        <w:rPr>
          <w:rtl w:val="0"/>
        </w:rPr>
        <w:t xml:space="preserve"> Uso diario: chat en tiempo real, documentos y publicaciones del departamento.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STK-009 (Nuevo Ingreso): </w:t>
      </w:r>
      <w:r w:rsidDel="00000000" w:rsidR="00000000" w:rsidRPr="00000000">
        <w:rPr>
          <w:rtl w:val="0"/>
        </w:rPr>
        <w:t xml:space="preserve">Completar el Panel de Novedades hasta que su líder cierre el onboarding (onboarding_pendiente = false).</w:t>
      </w:r>
    </w:p>
    <w:p w:rsidR="00000000" w:rsidDel="00000000" w:rsidP="00000000" w:rsidRDefault="00000000" w:rsidRPr="00000000" w14:paraId="000001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17zzktt83oo5" w:id="18"/>
      <w:bookmarkEnd w:id="18"/>
      <w:r w:rsidDel="00000000" w:rsidR="00000000" w:rsidRPr="00000000">
        <w:rPr>
          <w:rtl w:val="0"/>
        </w:rPr>
        <w:t xml:space="preserve">Sponsor y soporte (STK-010, STK-011)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STK-010 (Dirección / Sponsor):</w:t>
      </w:r>
      <w:r w:rsidDel="00000000" w:rsidR="00000000" w:rsidRPr="00000000">
        <w:rPr>
          <w:rtl w:val="0"/>
        </w:rPr>
        <w:t xml:space="preserve"> Obtener una intranet segura que centralice comunicación y documentos.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STK-011 (TI / soporte):</w:t>
      </w:r>
      <w:r w:rsidDel="00000000" w:rsidR="00000000" w:rsidRPr="00000000">
        <w:rPr>
          <w:rtl w:val="0"/>
        </w:rPr>
        <w:t xml:space="preserve"> Mantener el entorno local operativo (Herd + MariaDB + Reverb).</w:t>
      </w:r>
    </w:p>
    <w:p w:rsidR="00000000" w:rsidDel="00000000" w:rsidP="00000000" w:rsidRDefault="00000000" w:rsidRPr="00000000" w14:paraId="0000018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