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44"/>
        </w:rPr>
        <w:t>Diagram 1: System Context / Runtime Architecture</w:t>
      </w:r>
    </w:p>
    <w:p>
      <w:pPr>
        <w:spacing w:after="240"/>
      </w:pPr>
      <w:r>
        <w:rPr>
          <w:rFonts w:ascii="Arial" w:hAnsi="Arial"/>
          <w:color w:val="5A5A5A"/>
          <w:sz w:val="20"/>
        </w:rPr>
        <w:t>TokenStream CRA risk assessment artifact</w:t>
      </w:r>
    </w:p>
    <w:p>
      <w:r>
        <w:t>This document provides the high-level system context and runtime architecture view used as an input to the TokenStream CRA risk assessment. It identifies the system boundary, expected actors, main runtime components, security-relevant stores, external providers and tools, and the principal high-level 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414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text-runtime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41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Interpretation</w:t>
      </w:r>
    </w:p>
    <w:p>
      <w:r>
        <w:t>The diagram should be read as an architecture and context view rather than as the detailed STRIDE model. It establishes what is inside the self-hosted TokenStream runtime boundary and what remains external or user-controlled.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External actors include client application backends, human administrators/operators, corpus/source owners, corpus source systems, optional local chat UI components, and indirect client application end users.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TokenStream runtime components include dev-ui, config_auth, orchestrator-api, retrieval-api, ingestion-worker, TEI embedder, runtime snapshots, configuration/authentication storage, object storage, Qdrant vectors, and lexical/graph indexes.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External systems include LLM providers and MCP servers/tools invoked through the orchestrator according to configured policy and available credentials.</w:t>
      </w:r>
    </w:p>
    <w:p>
      <w:pPr>
        <w:pStyle w:val="Heading1"/>
      </w:pPr>
      <w:r>
        <w:t>Scope Notes</w:t>
      </w:r>
    </w:p>
    <w:p>
      <w:r>
        <w:t>This artifact does not enumerate individual STRIDE threats, risk scores, mitigations, vulnerability handling controls, or every attack surface item. Those details should be maintained in the STRIDE Data Flow / Trust Boundary diagram, the Threat Dragon model, and the modelled attack surface register.</w:t>
      </w:r>
    </w:p>
    <w:p>
      <w:r>
        <w:t>The optional local chat UI is shown as an external or adjacent client surface because it is not the administrative control plane. Direct user access to dev-ui remains outside the intended access model and should be treated as unintended except for trusted administration.</w:t>
      </w:r>
    </w:p>
    <w:sectPr w:rsidR="00FC693F" w:rsidRPr="0006063C" w:rsidSect="00034616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