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TokenStream CRA Cybersecurity Risk Assessment Methodology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Draft | 2026-08-26 | Product: TokenStream | Assessed version: 0.1.0</w:t>
      </w:r>
    </w:p>
    <w:p>
      <w:pPr>
        <w:spacing w:after="160" w:line="276" w:lineRule="auto"/>
      </w:pPr>
      <w:r>
        <w:t>Assessment type: CRA voluntary readiness risk assessment; no EU Declaration of Conformity or CE marking.</w:t>
      </w:r>
    </w:p>
    <w:p>
      <w:pPr>
        <w:pStyle w:val="Heading1"/>
      </w:pPr>
      <w:r>
        <w:t>1. Assessment Scope</w:t>
      </w:r>
    </w:p>
    <w:p>
      <w:pPr>
        <w:spacing w:after="160" w:line="276" w:lineRule="auto"/>
      </w:pPr>
      <w:r>
        <w:t>This assessment covers TokenStream as a self-hosted, software-only, open-source AI orchestration and retrieval runtime. The assessed deployment model is the Docker Compose topology documented in the repository, including: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dev-ui and the embedded config_auth registry/auth package;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orchestrator-api;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retrieval-api;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ingestion-worker;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Qdrant vector storage;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MinIO-compatible object storage;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SQLite-backed registry, lexical, and graph data;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runtime provider/policy/processor/retrieval-profile snapshots;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external model providers configured through provider records;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optional MCP servers configured as TokenStream tools;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optional Open WebUI only where deployed as part of the TokenStream stack.</w:t>
      </w:r>
    </w:p>
    <w:p>
      <w:pPr>
        <w:spacing w:after="160" w:line="276" w:lineRule="auto"/>
      </w:pPr>
      <w:r>
        <w:t>The assessment covers TokenStream product behavior, default configuration, documented deployment assumptions, vulnerability handling, security updates, and evidence needed for CRA readiness.</w:t>
      </w:r>
    </w:p>
    <w:p>
      <w:pPr>
        <w:spacing w:after="160" w:line="276" w:lineRule="auto"/>
      </w:pPr>
      <w:r>
        <w:t>Out of scope for this assessment: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formal CE marking, EU Declaration of Conformity, and market-placement claims;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customer or integrator applications built on top of TokenStream;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internal security of external LLM providers, MCP servers, Qdrant, MinIO, Open WebUI, Docker Desktop, host operating systems, and reverse proxies, except where TokenStream configuration or integration choices affect TokenStream risk;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production SaaS operation, hosting SLAs, or managed-service controls not present in the repository.</w:t>
      </w:r>
    </w:p>
    <w:p>
      <w:pPr>
        <w:pStyle w:val="Heading1"/>
      </w:pPr>
      <w:r>
        <w:t>2. Assessment Metadata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owner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TBD: TokenStream maintainer / CRA readiness owner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date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2026-08-26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TokenStream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Assessed 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0.1.0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Distribution model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Open-source, non-commercial, self-hosted software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identification methodology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STRIDE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estimation methodology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Likelihood x Impact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formula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score = likelihood score x impact score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Tooling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OWASP Threat Dragon v2.6.2, STRIDE diagram type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Dragon instance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http://localhost:8081/#/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Dragon model 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docs/cra/threat-dragon/tokenstream-cra-stride-threat-model.json</w:t>
            </w:r>
          </w:p>
        </w:tc>
      </w:tr>
    </w:tbl>
    <w:p/>
    <w:p>
      <w:pPr>
        <w:pStyle w:val="Heading1"/>
      </w:pPr>
      <w:r>
        <w:t>3. Threat Identification Methodology</w:t>
      </w:r>
    </w:p>
    <w:p>
      <w:pPr>
        <w:spacing w:after="160" w:line="276" w:lineRule="auto"/>
      </w:pPr>
      <w:r>
        <w:t>Threats are identified using STRIDE: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STRIDE category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Security property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Spoofing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Authenticity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Tampering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Integrity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Repudiation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Non-repudiation and accountability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Information Disclosure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Confidentiality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Denial of Service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Availability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Elevation of Privilege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Authorization and privilege boundaries</w:t>
            </w:r>
          </w:p>
        </w:tc>
      </w:tr>
    </w:tbl>
    <w:p/>
    <w:p>
      <w:pPr>
        <w:spacing w:after="160" w:line="276" w:lineRule="auto"/>
      </w:pPr>
      <w:r>
        <w:t>Threat identification is performed over the Threat Dragon data-flow diagram. For each actor, process, data store, data flow, and trust boundary, assess whether any STRIDE category is relevant. Threats should be documented with a scenario, affected asset, affected security property, existing assumptions or safeguards, likelihood, impact, treatment decision, owner, and status.</w:t>
      </w:r>
    </w:p>
    <w:p>
      <w:pPr>
        <w:spacing w:after="160" w:line="276" w:lineRule="auto"/>
      </w:pPr>
      <w:r>
        <w:t>Threat Dragon is used for diagramming and STRIDE prompting. It does not define TokenStream's risk methodology; the scoring model below is the authoritative scoring method for this CRA risk assessment.</w:t>
      </w:r>
    </w:p>
    <w:p>
      <w:pPr>
        <w:pStyle w:val="Heading1"/>
      </w:pPr>
      <w:r>
        <w:t>4. Risk Scoring Criteria</w:t>
      </w:r>
    </w:p>
    <w:p>
      <w:pPr>
        <w:spacing w:after="160" w:line="276" w:lineRule="auto"/>
      </w:pPr>
      <w:r>
        <w:t>Risk score = Likelihood x Impact</w:t>
      </w:r>
    </w:p>
    <w:p>
      <w:pPr>
        <w:pStyle w:val="Heading2"/>
      </w:pPr>
      <w:r>
        <w:t>Likelihood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800"/>
        <w:gridCol w:w="1700"/>
        <w:gridCol w:w="6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Assessment guidance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Requires exceptional conditions, privileged preconditions, or no known practical attack path in the assessed deployment.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Plausible but difficult; requires uncommon access, unusual configuration, or multiple failures.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Possible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Credible in normal self-hosted deployments, especially with common misconfiguration or exposed interfaces.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Expected to occur in realistic deployments without deliberate mitigation, or supported by known attack patterns.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Highly 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Easy to trigger, internet/common-tool accessible, automated, or already observed in comparable systems.</w:t>
            </w:r>
          </w:p>
        </w:tc>
      </w:tr>
    </w:tbl>
    <w:p/>
    <w:p>
      <w:pPr>
        <w:pStyle w:val="Heading2"/>
      </w:pPr>
      <w:r>
        <w:t>Impact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800"/>
        <w:gridCol w:w="1700"/>
        <w:gridCol w:w="6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Assessment guidance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Negligible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 meaningful security effect; minor local inconvenience; no sensitive data or essential function affected.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Minor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Limited effect on a non-critical function, non-sensitive metadata, or recoverable local state.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Affects one security boundary, corpus, service function, or operational workflow with contained impact.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Major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Exposes or compromises sensitive data, credentials, admin actions, tool execution, provider access, or essential availability in a meaningful deployment.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Severe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Systemic compromise, broad data exposure, malicious code execution, cross-boundary privilege escalation, unrecoverable integrity loss, or major service unavailability.</w:t>
            </w:r>
          </w:p>
        </w:tc>
      </w:tr>
    </w:tbl>
    <w:p/>
    <w:p>
      <w:pPr>
        <w:pStyle w:val="Heading2"/>
      </w:pPr>
      <w:r>
        <w:t>Risk Bands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1600"/>
        <w:gridCol w:w="1500"/>
        <w:gridCol w:w="6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 range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Level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Default handling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1-4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Acceptable with documented rationale; monitor during normal review.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5-9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Treatment plan required unless explicitly accepted by assessment owner.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10-15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Mitigation or compensating control required before release/readiness sign-off, unless formally risk-accepted by accountable owner.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16-25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Critical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Must be treated before release/readiness sign-off; acceptance requires exceptional documented justification, time-bound expiry, and compensating controls.</w:t>
            </w:r>
          </w:p>
        </w:tc>
      </w:tr>
    </w:tbl>
    <w:p/>
    <w:p>
      <w:pPr>
        <w:pStyle w:val="Heading1"/>
      </w:pPr>
      <w:r>
        <w:t>5. Risk Treatment 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Option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TokenStream examples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Mitigate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Reduce likelihood or impact through a control, design change, process, test, or documentation.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Add scoped API enforcement, input limits, upload validation, secret redaction, release gate, or hardening guide.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Avoid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Remove the risky feature, exposure, dependency, or deployment pattern.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Disable optional MCP server by default; remove an unsafe default public port.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Transfer or share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Shift part of the risk through explicit operator responsibility, upstream dependency responsibility, or deployment prerequisite.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 reverse proxy TLS; document external provider responsibility; route dependency vulnerability upstream.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Keep the risk with documented rationale, owner, expiry, and review trigger.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 a low-risk local-only dev behavior for non-production use.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Monitor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Track risk without immediate change because current score is low or dependent on external evolution.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Monitor future CRA implementing acts, SBOM format requirements, or provider API changes.</w:t>
            </w:r>
          </w:p>
        </w:tc>
      </w:tr>
    </w:tbl>
    <w:p/>
    <w:p>
      <w:pPr>
        <w:pStyle w:val="Heading1"/>
      </w:pPr>
      <w:r>
        <w:t>6. Risk Acceptance Criteria</w:t>
      </w:r>
    </w:p>
    <w:p>
      <w:pPr>
        <w:spacing w:after="160" w:line="276" w:lineRule="auto"/>
      </w:pPr>
      <w:r>
        <w:t>Risk acceptance must be explicit and documented. It must include: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risk ID and threat scenario;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current likelihood, impact, and score;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reason mitigation is not currently implemented;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accountable owner;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expiry or next review date;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compensating controls, if any;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conditions that trigger reassessment;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affected CRA requirements and evidence references.</w:t>
      </w:r>
    </w:p>
    <w:p>
      <w:pPr>
        <w:spacing w:after="160" w:line="276" w:lineRule="auto"/>
      </w:pPr>
      <w:r>
        <w:t>Default acceptance rules: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Low risks may be accepted by the assessment owner with rationale.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Medium risks may be accepted only with a treatment backlog item or documented justification.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High risks require accountable owner approval and a time-bound remediation or compensating control.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Critical risks are not acceptable for release/readiness sign-off except under exceptional, documented, time-bound conditions.</w:t>
      </w:r>
    </w:p>
    <w:p>
      <w:pPr>
        <w:pStyle w:val="Heading1"/>
      </w:pPr>
      <w:r>
        <w:t>7. Review And Update Triggers</w:t>
      </w:r>
    </w:p>
    <w:p>
      <w:pPr>
        <w:spacing w:after="160" w:line="276" w:lineRule="auto"/>
      </w:pPr>
      <w:r>
        <w:t>The risk assessment must be reviewed and updated when any of the following occur: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major TokenStream release or substantial architecture change;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new externally reachable endpoint, admin function, internal service boundary, or authentication/authorization model;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provider routing, model-provider configuration, MCP tool capability, or tool allowlist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new ingestion processor, parser, source type, upload path, or object-storage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corpus isolation, retrieval filters, embedding/index storage, or deletion/purge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introduction, removal, or major version change of a critical dependency, base image, bundled service, or optional service;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known exploited vulnerability, severe security incident, or vulnerability class affecting TokenStream assumptions;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secure update, advisory, support-period, CVD, or security contact process;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CRA implementing acts, harmonised standards, common specifications, or OpenChain cross-check guidance;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support-period or end-of-support decision;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at least annually while the assessed version or release line remains supported.</w:t>
      </w:r>
    </w:p>
    <w:p>
      <w:pPr>
        <w:pStyle w:val="Heading1"/>
      </w:pPr>
      <w:r>
        <w:t>8. Relationship To Requirement Registers</w:t>
      </w:r>
    </w:p>
    <w:p>
      <w:pPr>
        <w:spacing w:after="160" w:line="276" w:lineRule="auto"/>
      </w:pPr>
      <w:r>
        <w:t>This methodology follows the preliminary CRA requirement registers. The risk assessment will be used to finalize applicability and implementation rationale for: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Annex I Part 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Annex I Part II;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13;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14;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31 and Annex VII;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28, Article 30, and Annex II.</w:t>
      </w:r>
    </w:p>
    <w:p>
      <w:pPr>
        <w:spacing w:after="160" w:line="276" w:lineRule="auto"/>
      </w:pPr>
      <w:r>
        <w:t>The final output of the risk assessment should feed the control library, requirement-control mapping, and evidence register. Threat Dragon provides the STRIDE model and diagram evidence; this document remains the authoritative scoring and treatment methodology.</w:t>
      </w:r>
    </w:p>
    <w:p>
      <w:pPr>
        <w:pStyle w:val="Heading1"/>
      </w:pPr>
      <w:r>
        <w:t>9. Threat Dragon Model</w:t>
      </w:r>
    </w:p>
    <w:p>
      <w:pPr>
        <w:spacing w:after="160" w:line="276" w:lineRule="auto"/>
      </w:pPr>
      <w:r>
        <w:t>The companion Threat Dragon model is configured with STRIDE as the diagram threat methodology and is stored at docs/cra/threat-dragon/tokenstream-cra-stride-threat-model.json. The model should be imported or opened alongside this methodology when assessing individual threat scenarios.</w:t>
      </w:r>
    </w:p>
    <w:p>
      <w:pPr>
        <w:pStyle w:val="Heading1"/>
      </w:pPr>
      <w:r>
        <w:t>10. Sources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Regulation (EU) 2024/2847, Cyber Resilience Act, official EUR-Lex PDF: https://eur-lex.europa.eu/legal-content/EN/TXT/PDF/?uri=OJ:L_202402847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OWASP Threat Dragon Docker and local configuration documentation: https://www.threatdragon.com/docs/install/docker.html and https://www.threatdragon.com/docs/configure/local.html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OWASP Threat Dragon model schema documentation: https://www.threatdragon.com/docs/development/schema.html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OpenChain Project CRA Compliance Requirements &amp; Checklist: https://github.com/OpenChain-Project/CRA-Compliance/blob/main/CRA_Checklist_Requirement_latest.md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TokenStream CRA Cybersecurity Risk Assessment Methodology</dc:title>
  <dc:subject>CRA voluntary readiness risk assessment methodology</dc:subject>
  <dc:creator>python-docx</dc:creator>
  <cp:keywords>CRA, Cyber Resilience Act, TokenStream, risk assessment, STRIDE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