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C4507" w14:textId="4FCA9FEA" w:rsidR="00BF4C86" w:rsidRDefault="00C97D5A" w:rsidP="00C97D5A">
      <w:pPr>
        <w:pBdr>
          <w:bottom w:val="single" w:sz="6" w:space="1" w:color="auto"/>
        </w:pBdr>
        <w:rPr>
          <w:b/>
          <w:bCs/>
        </w:rPr>
      </w:pPr>
      <w:r>
        <w:rPr>
          <w:b/>
          <w:bCs/>
        </w:rPr>
        <w:t>Calytra Insights #</w:t>
      </w:r>
      <w:r w:rsidR="006F42D0">
        <w:rPr>
          <w:b/>
          <w:bCs/>
        </w:rPr>
        <w:t>2</w:t>
      </w:r>
      <w:r>
        <w:rPr>
          <w:b/>
          <w:bCs/>
        </w:rPr>
        <w:t xml:space="preserve">: </w:t>
      </w:r>
      <w:r w:rsidR="006F42D0">
        <w:rPr>
          <w:b/>
          <w:bCs/>
        </w:rPr>
        <w:t xml:space="preserve">Rapid Early Feasibility Study (EFS) Strategy </w:t>
      </w:r>
    </w:p>
    <w:p w14:paraId="45C408BF" w14:textId="77777777" w:rsidR="00C97D5A" w:rsidRDefault="00C97D5A" w:rsidP="00C97D5A">
      <w:pPr>
        <w:pStyle w:val="ListParagraph"/>
        <w:numPr>
          <w:ilvl w:val="0"/>
          <w:numId w:val="13"/>
        </w:numPr>
        <w:contextualSpacing w:val="0"/>
        <w:rPr>
          <w:b/>
          <w:bCs/>
        </w:rPr>
      </w:pPr>
      <w:r>
        <w:rPr>
          <w:b/>
          <w:bCs/>
        </w:rPr>
        <w:t xml:space="preserve">Purpose: </w:t>
      </w:r>
    </w:p>
    <w:p w14:paraId="4F8257ED" w14:textId="77777777" w:rsidR="002E029B" w:rsidRDefault="00C97D5A" w:rsidP="002E029B">
      <w:pPr>
        <w:pStyle w:val="ListParagraph"/>
        <w:contextualSpacing w:val="0"/>
      </w:pPr>
      <w:r w:rsidRPr="00C97D5A">
        <w:t xml:space="preserve">This </w:t>
      </w:r>
      <w:r w:rsidR="002E029B" w:rsidRPr="002E029B">
        <w:t>document outlines a streamlined strategy for conducting an Early Feasibility Study (EFS) utilizing hand-carry logistics, packaging validation, and lot release sterilization. The approach minimizes regulatory hurdles and expedites the process by focusing on essential validation steps while eliminating aging studies. The purpose is to provide a structured framework that ensures compliance with regulatory requirements while maintaining efficiency in cost and time.</w:t>
      </w:r>
    </w:p>
    <w:p w14:paraId="48EBD9B9" w14:textId="38787400" w:rsidR="00C97D5A" w:rsidRPr="002E029B" w:rsidRDefault="00C97D5A" w:rsidP="002E029B">
      <w:pPr>
        <w:pStyle w:val="ListParagraph"/>
        <w:numPr>
          <w:ilvl w:val="0"/>
          <w:numId w:val="13"/>
        </w:numPr>
        <w:contextualSpacing w:val="0"/>
      </w:pPr>
      <w:r w:rsidRPr="002E029B">
        <w:rPr>
          <w:b/>
          <w:bCs/>
        </w:rPr>
        <w:t xml:space="preserve">Scope: </w:t>
      </w:r>
    </w:p>
    <w:p w14:paraId="66913C45" w14:textId="7498132F" w:rsidR="00C97D5A" w:rsidRPr="00A712CF" w:rsidRDefault="00A712CF" w:rsidP="00A712CF">
      <w:pPr>
        <w:pStyle w:val="ListParagraph"/>
        <w:contextualSpacing w:val="0"/>
      </w:pPr>
      <w:r w:rsidRPr="00A712CF">
        <w:t>This document applies to medical device developers and regulatory teams seeking an accelerated EFS approval pathway. It covers key regulatory considerations, testing requirements, estimated costs, and potential risks. The scope includes pre-submission discussions with the FDA, validation of packaging and sterilization processes, and functional product testing necessary to support device integrity throughout the study period.</w:t>
      </w:r>
    </w:p>
    <w:p w14:paraId="5A61CEC6" w14:textId="660C0D4C" w:rsidR="00C97D5A" w:rsidRPr="00C97D5A" w:rsidRDefault="00C97D5A" w:rsidP="00A712CF">
      <w:pPr>
        <w:pStyle w:val="ListParagraph"/>
        <w:numPr>
          <w:ilvl w:val="0"/>
          <w:numId w:val="13"/>
        </w:numPr>
        <w:contextualSpacing w:val="0"/>
      </w:pPr>
      <w:r>
        <w:rPr>
          <w:b/>
          <w:bCs/>
        </w:rPr>
        <w:t>Insight Summary</w:t>
      </w:r>
    </w:p>
    <w:p w14:paraId="6A235116" w14:textId="76D0DBF9" w:rsidR="00A712CF" w:rsidRDefault="00A712CF" w:rsidP="00715473">
      <w:pPr>
        <w:pStyle w:val="ListParagraph"/>
        <w:contextualSpacing w:val="0"/>
      </w:pPr>
      <w:r w:rsidRPr="00A712CF">
        <w:t>This strategy accelerates an Early Feasibility Study (EFS) by leveraging hand-carry logistics, packaging validation, and lot release sterilization. Aging studies are excluded, and product shelf life is limited to six months post-sterilization</w:t>
      </w:r>
      <w:r w:rsidR="00A530CD">
        <w:t xml:space="preserve"> based on accepted pre-sub communication</w:t>
      </w:r>
      <w:r w:rsidRPr="00A712CF">
        <w:t xml:space="preserve">. The goal is to streamline regulatory approval and minimize pre-clinical testing delays. The document details critical components such as regulatory interactions, sterilization robustness, and functional product testing, along with a breakdown of </w:t>
      </w:r>
      <w:r w:rsidR="008F1363">
        <w:t xml:space="preserve">biocompatibility requirements </w:t>
      </w:r>
      <w:r w:rsidRPr="00A712CF">
        <w:t xml:space="preserve">and potential </w:t>
      </w:r>
      <w:r w:rsidR="008F1363">
        <w:t>challenges</w:t>
      </w:r>
      <w:r w:rsidRPr="00A712CF">
        <w:t xml:space="preserve"> associated with the approach.</w:t>
      </w:r>
    </w:p>
    <w:p w14:paraId="4E1C7040" w14:textId="127943C1" w:rsidR="00C97D5A" w:rsidRDefault="000C68A2" w:rsidP="00A712CF">
      <w:pPr>
        <w:pStyle w:val="ListParagraph"/>
        <w:numPr>
          <w:ilvl w:val="1"/>
          <w:numId w:val="13"/>
        </w:numPr>
        <w:rPr>
          <w:b/>
          <w:bCs/>
        </w:rPr>
      </w:pPr>
      <w:r>
        <w:rPr>
          <w:b/>
          <w:bCs/>
        </w:rPr>
        <w:t>Rapid EFS Strategy</w:t>
      </w:r>
    </w:p>
    <w:p w14:paraId="72EC864B" w14:textId="3F585734" w:rsidR="008952B6" w:rsidRPr="008952B6" w:rsidRDefault="008952B6" w:rsidP="00460CB3">
      <w:pPr>
        <w:ind w:left="360"/>
      </w:pPr>
      <w:r w:rsidRPr="008952B6">
        <w:rPr>
          <w:b/>
          <w:bCs/>
        </w:rPr>
        <w:t>Pre-Sub Meetings with FDA</w:t>
      </w:r>
      <w:r w:rsidRPr="008952B6">
        <w:t>: Engage in pre-submission discussions with the FDA to confirm amenability to the hand-carry approach and document regulatory expectations.</w:t>
      </w:r>
      <w:r w:rsidR="0077204B">
        <w:t xml:space="preserve"> This is a common strategy for </w:t>
      </w:r>
      <w:r w:rsidR="000851A5">
        <w:t xml:space="preserve">an </w:t>
      </w:r>
      <w:r w:rsidR="0077204B">
        <w:t>EFS</w:t>
      </w:r>
      <w:r w:rsidR="000851A5">
        <w:t>, but it is important to engage with the FDA early and often through the Q-sub process.</w:t>
      </w:r>
      <w:r w:rsidR="009A2840">
        <w:t xml:space="preserve"> A summary of the rapid EFS strategy is described in </w:t>
      </w:r>
      <w:r w:rsidR="000851A5">
        <w:t xml:space="preserve"> </w:t>
      </w:r>
      <w:r w:rsidR="00460CB3">
        <w:fldChar w:fldCharType="begin"/>
      </w:r>
      <w:r w:rsidR="00460CB3">
        <w:instrText xml:space="preserve"> REF _Ref190637939 \h </w:instrText>
      </w:r>
      <w:r w:rsidR="00460CB3">
        <w:fldChar w:fldCharType="separate"/>
      </w:r>
      <w:r w:rsidR="004E3FDF" w:rsidRPr="00460CB3">
        <w:rPr>
          <w:b/>
          <w:bCs/>
          <w:i/>
          <w:iCs/>
        </w:rPr>
        <w:t xml:space="preserve">Table </w:t>
      </w:r>
      <w:r w:rsidR="004E3FDF">
        <w:rPr>
          <w:b/>
          <w:bCs/>
          <w:i/>
          <w:iCs/>
          <w:noProof/>
        </w:rPr>
        <w:t>1</w:t>
      </w:r>
      <w:r w:rsidR="00460CB3">
        <w:fldChar w:fldCharType="end"/>
      </w:r>
    </w:p>
    <w:p w14:paraId="5D851CCA" w14:textId="482E8828" w:rsidR="00460CB3" w:rsidRPr="00460CB3" w:rsidRDefault="00460CB3" w:rsidP="00460CB3">
      <w:pPr>
        <w:pStyle w:val="Caption"/>
        <w:keepNext/>
        <w:jc w:val="center"/>
        <w:rPr>
          <w:b/>
          <w:bCs/>
          <w:i w:val="0"/>
          <w:iCs w:val="0"/>
          <w:color w:val="auto"/>
          <w:sz w:val="22"/>
          <w:szCs w:val="22"/>
        </w:rPr>
      </w:pPr>
      <w:bookmarkStart w:id="0" w:name="_Ref190637939"/>
      <w:r w:rsidRPr="00460CB3">
        <w:rPr>
          <w:b/>
          <w:bCs/>
          <w:i w:val="0"/>
          <w:iCs w:val="0"/>
          <w:color w:val="auto"/>
          <w:sz w:val="22"/>
          <w:szCs w:val="22"/>
        </w:rPr>
        <w:t xml:space="preserve">Table </w:t>
      </w:r>
      <w:r w:rsidRPr="00460CB3">
        <w:rPr>
          <w:b/>
          <w:bCs/>
          <w:i w:val="0"/>
          <w:iCs w:val="0"/>
          <w:color w:val="auto"/>
          <w:sz w:val="22"/>
          <w:szCs w:val="22"/>
        </w:rPr>
        <w:fldChar w:fldCharType="begin"/>
      </w:r>
      <w:r w:rsidRPr="00460CB3">
        <w:rPr>
          <w:b/>
          <w:bCs/>
          <w:i w:val="0"/>
          <w:iCs w:val="0"/>
          <w:color w:val="auto"/>
          <w:sz w:val="22"/>
          <w:szCs w:val="22"/>
        </w:rPr>
        <w:instrText xml:space="preserve"> SEQ Table \* ARABIC </w:instrText>
      </w:r>
      <w:r w:rsidRPr="00460CB3">
        <w:rPr>
          <w:b/>
          <w:bCs/>
          <w:i w:val="0"/>
          <w:iCs w:val="0"/>
          <w:color w:val="auto"/>
          <w:sz w:val="22"/>
          <w:szCs w:val="22"/>
        </w:rPr>
        <w:fldChar w:fldCharType="separate"/>
      </w:r>
      <w:r w:rsidR="004E3FDF">
        <w:rPr>
          <w:b/>
          <w:bCs/>
          <w:i w:val="0"/>
          <w:iCs w:val="0"/>
          <w:noProof/>
          <w:color w:val="auto"/>
          <w:sz w:val="22"/>
          <w:szCs w:val="22"/>
        </w:rPr>
        <w:t>1</w:t>
      </w:r>
      <w:r w:rsidRPr="00460CB3">
        <w:rPr>
          <w:b/>
          <w:bCs/>
          <w:i w:val="0"/>
          <w:iCs w:val="0"/>
          <w:color w:val="auto"/>
          <w:sz w:val="22"/>
          <w:szCs w:val="22"/>
        </w:rPr>
        <w:fldChar w:fldCharType="end"/>
      </w:r>
      <w:bookmarkEnd w:id="0"/>
      <w:r w:rsidRPr="00460CB3">
        <w:rPr>
          <w:b/>
          <w:bCs/>
          <w:i w:val="0"/>
          <w:iCs w:val="0"/>
          <w:color w:val="auto"/>
          <w:sz w:val="22"/>
          <w:szCs w:val="22"/>
        </w:rPr>
        <w:t>: Rapid EFS Strategy</w:t>
      </w:r>
    </w:p>
    <w:tbl>
      <w:tblPr>
        <w:tblStyle w:val="TableGrid"/>
        <w:tblW w:w="0" w:type="auto"/>
        <w:tblInd w:w="720" w:type="dxa"/>
        <w:tblCellMar>
          <w:top w:w="29" w:type="dxa"/>
          <w:left w:w="72" w:type="dxa"/>
          <w:bottom w:w="29" w:type="dxa"/>
          <w:right w:w="72" w:type="dxa"/>
        </w:tblCellMar>
        <w:tblLook w:val="04A0" w:firstRow="1" w:lastRow="0" w:firstColumn="1" w:lastColumn="0" w:noHBand="0" w:noVBand="1"/>
      </w:tblPr>
      <w:tblGrid>
        <w:gridCol w:w="535"/>
        <w:gridCol w:w="1710"/>
        <w:gridCol w:w="6385"/>
      </w:tblGrid>
      <w:tr w:rsidR="00460CB3" w14:paraId="03FA1846" w14:textId="77777777" w:rsidTr="00F9776F">
        <w:trPr>
          <w:tblHeader/>
        </w:trPr>
        <w:tc>
          <w:tcPr>
            <w:tcW w:w="535" w:type="dxa"/>
            <w:shd w:val="clear" w:color="auto" w:fill="E7E6E6" w:themeFill="background2"/>
          </w:tcPr>
          <w:p w14:paraId="26043EAE" w14:textId="77777777" w:rsidR="00460CB3" w:rsidRDefault="00460CB3" w:rsidP="00F9776F">
            <w:pPr>
              <w:rPr>
                <w:b/>
                <w:bCs/>
              </w:rPr>
            </w:pPr>
            <w:r>
              <w:rPr>
                <w:b/>
                <w:bCs/>
              </w:rPr>
              <w:t>Ref</w:t>
            </w:r>
          </w:p>
        </w:tc>
        <w:tc>
          <w:tcPr>
            <w:tcW w:w="1710" w:type="dxa"/>
            <w:shd w:val="clear" w:color="auto" w:fill="E7E6E6" w:themeFill="background2"/>
          </w:tcPr>
          <w:p w14:paraId="0BE55575" w14:textId="77777777" w:rsidR="00460CB3" w:rsidRDefault="00460CB3" w:rsidP="00F9776F">
            <w:pPr>
              <w:rPr>
                <w:b/>
                <w:bCs/>
              </w:rPr>
            </w:pPr>
            <w:r>
              <w:rPr>
                <w:b/>
                <w:bCs/>
              </w:rPr>
              <w:t>Challenge</w:t>
            </w:r>
          </w:p>
        </w:tc>
        <w:tc>
          <w:tcPr>
            <w:tcW w:w="6385" w:type="dxa"/>
            <w:shd w:val="clear" w:color="auto" w:fill="E7E6E6" w:themeFill="background2"/>
          </w:tcPr>
          <w:p w14:paraId="780C1E7A" w14:textId="77777777" w:rsidR="00460CB3" w:rsidRDefault="00460CB3" w:rsidP="00F9776F">
            <w:pPr>
              <w:rPr>
                <w:b/>
                <w:bCs/>
              </w:rPr>
            </w:pPr>
            <w:r>
              <w:rPr>
                <w:b/>
                <w:bCs/>
              </w:rPr>
              <w:t>Change</w:t>
            </w:r>
          </w:p>
        </w:tc>
      </w:tr>
      <w:tr w:rsidR="00460CB3" w14:paraId="020AF7EA" w14:textId="77777777" w:rsidTr="00F9776F">
        <w:tc>
          <w:tcPr>
            <w:tcW w:w="535" w:type="dxa"/>
          </w:tcPr>
          <w:p w14:paraId="2C81E2EA" w14:textId="77777777" w:rsidR="00460CB3" w:rsidRPr="00C97D5A" w:rsidRDefault="00460CB3" w:rsidP="00F9776F">
            <w:r>
              <w:t>1</w:t>
            </w:r>
          </w:p>
        </w:tc>
        <w:tc>
          <w:tcPr>
            <w:tcW w:w="1710" w:type="dxa"/>
          </w:tcPr>
          <w:p w14:paraId="0DEAE84D" w14:textId="409A6883" w:rsidR="00460CB3" w:rsidRPr="00C97D5A" w:rsidRDefault="008F7133" w:rsidP="00F9776F">
            <w:r>
              <w:t>Hand Carry</w:t>
            </w:r>
          </w:p>
        </w:tc>
        <w:tc>
          <w:tcPr>
            <w:tcW w:w="6385" w:type="dxa"/>
          </w:tcPr>
          <w:p w14:paraId="07DE9BC8" w14:textId="1EC376F1" w:rsidR="00460CB3" w:rsidRDefault="00460CB3" w:rsidP="00F9776F">
            <w:pPr>
              <w:spacing w:after="160" w:line="259" w:lineRule="auto"/>
              <w:rPr>
                <w:b/>
                <w:bCs/>
              </w:rPr>
            </w:pPr>
            <w:r w:rsidRPr="008952B6">
              <w:t>Devices are transported directly to clinical sites</w:t>
            </w:r>
            <w:r>
              <w:t xml:space="preserve"> which will avoid the requirement</w:t>
            </w:r>
            <w:r w:rsidRPr="008952B6">
              <w:t xml:space="preserve"> </w:t>
            </w:r>
            <w:r>
              <w:t>to validate the distribution process.</w:t>
            </w:r>
          </w:p>
        </w:tc>
      </w:tr>
      <w:tr w:rsidR="00460CB3" w14:paraId="42072EC2" w14:textId="77777777" w:rsidTr="00F9776F">
        <w:tc>
          <w:tcPr>
            <w:tcW w:w="535" w:type="dxa"/>
          </w:tcPr>
          <w:p w14:paraId="79D57E95" w14:textId="77777777" w:rsidR="00460CB3" w:rsidRPr="00C97D5A" w:rsidRDefault="00460CB3" w:rsidP="00F9776F">
            <w:r w:rsidRPr="00C97D5A">
              <w:t>2</w:t>
            </w:r>
          </w:p>
        </w:tc>
        <w:tc>
          <w:tcPr>
            <w:tcW w:w="1710" w:type="dxa"/>
          </w:tcPr>
          <w:p w14:paraId="0E660B47" w14:textId="6553CE50" w:rsidR="00460CB3" w:rsidRPr="00C97D5A" w:rsidRDefault="008F7133" w:rsidP="00F9776F">
            <w:r>
              <w:t>Sealing Validation</w:t>
            </w:r>
          </w:p>
        </w:tc>
        <w:tc>
          <w:tcPr>
            <w:tcW w:w="6385" w:type="dxa"/>
          </w:tcPr>
          <w:p w14:paraId="7BCB519F" w14:textId="5B526395" w:rsidR="00460CB3" w:rsidRPr="00C97D5A" w:rsidRDefault="00460CB3" w:rsidP="00F9776F">
            <w:r w:rsidRPr="008952B6">
              <w:t>Sealing process validated per ASTM F88/F2096 to ensure sterility.</w:t>
            </w:r>
          </w:p>
        </w:tc>
      </w:tr>
      <w:tr w:rsidR="00460CB3" w14:paraId="6B174AAF" w14:textId="77777777" w:rsidTr="00F9776F">
        <w:tc>
          <w:tcPr>
            <w:tcW w:w="535" w:type="dxa"/>
          </w:tcPr>
          <w:p w14:paraId="289994D5" w14:textId="77777777" w:rsidR="00460CB3" w:rsidRPr="00C97D5A" w:rsidRDefault="00460CB3" w:rsidP="00F9776F">
            <w:r w:rsidRPr="00C97D5A">
              <w:t>3</w:t>
            </w:r>
          </w:p>
        </w:tc>
        <w:tc>
          <w:tcPr>
            <w:tcW w:w="1710" w:type="dxa"/>
          </w:tcPr>
          <w:p w14:paraId="26EF6661" w14:textId="77777777" w:rsidR="00460CB3" w:rsidRPr="00C97D5A" w:rsidRDefault="006716DD" w:rsidP="00F9776F">
            <w:r>
              <w:t>Single Lot Release</w:t>
            </w:r>
          </w:p>
        </w:tc>
        <w:tc>
          <w:tcPr>
            <w:tcW w:w="6385" w:type="dxa"/>
          </w:tcPr>
          <w:p w14:paraId="49375727" w14:textId="082B0379" w:rsidR="00460CB3" w:rsidRPr="00C97D5A" w:rsidRDefault="00460CB3" w:rsidP="00F9776F">
            <w:r w:rsidRPr="008952B6">
              <w:t>Ethylene oxide (EO) sterilization per ISO 11135:2014</w:t>
            </w:r>
            <w:r>
              <w:t xml:space="preserve"> Annex E</w:t>
            </w:r>
            <w:r w:rsidRPr="008952B6">
              <w:t xml:space="preserve">, utilizing half-cycle and full-cycle </w:t>
            </w:r>
            <w:r>
              <w:t>validation</w:t>
            </w:r>
            <w:r w:rsidRPr="008952B6">
              <w:t>.</w:t>
            </w:r>
          </w:p>
        </w:tc>
      </w:tr>
      <w:tr w:rsidR="00460CB3" w14:paraId="250857DA" w14:textId="77777777" w:rsidTr="00F9776F">
        <w:tc>
          <w:tcPr>
            <w:tcW w:w="535" w:type="dxa"/>
          </w:tcPr>
          <w:p w14:paraId="7798FB68" w14:textId="77777777" w:rsidR="00460CB3" w:rsidRPr="00C97D5A" w:rsidRDefault="00460CB3" w:rsidP="00F9776F">
            <w:r w:rsidRPr="00C97D5A">
              <w:lastRenderedPageBreak/>
              <w:t>4</w:t>
            </w:r>
          </w:p>
          <w:p w14:paraId="42F1AAE9" w14:textId="77777777" w:rsidR="00460CB3" w:rsidRPr="00C97D5A" w:rsidRDefault="00460CB3" w:rsidP="00F9776F"/>
        </w:tc>
        <w:tc>
          <w:tcPr>
            <w:tcW w:w="1710" w:type="dxa"/>
          </w:tcPr>
          <w:p w14:paraId="4C36764C" w14:textId="7D337812" w:rsidR="00460CB3" w:rsidRPr="00C97D5A" w:rsidRDefault="006716DD" w:rsidP="00F9776F">
            <w:r>
              <w:t>No AA testing</w:t>
            </w:r>
          </w:p>
        </w:tc>
        <w:tc>
          <w:tcPr>
            <w:tcW w:w="6385" w:type="dxa"/>
          </w:tcPr>
          <w:p w14:paraId="606530A7" w14:textId="30B2D851" w:rsidR="00460CB3" w:rsidRPr="00C97D5A" w:rsidRDefault="00460CB3" w:rsidP="00F9776F">
            <w:r w:rsidRPr="008952B6">
              <w:t>Shelf life is based on prior references</w:t>
            </w:r>
            <w:r>
              <w:t>, pre-clinical studies, and justifications of material properties and history of use</w:t>
            </w:r>
            <w:r w:rsidRPr="008952B6">
              <w:t xml:space="preserve"> rather than accelerated aging tests, reducing upfront </w:t>
            </w:r>
            <w:r>
              <w:t>verification</w:t>
            </w:r>
            <w:r w:rsidRPr="008952B6">
              <w:t xml:space="preserve"> work.</w:t>
            </w:r>
          </w:p>
        </w:tc>
      </w:tr>
      <w:tr w:rsidR="00460CB3" w14:paraId="3F54C8FE" w14:textId="77777777" w:rsidTr="00F9776F">
        <w:tc>
          <w:tcPr>
            <w:tcW w:w="535" w:type="dxa"/>
          </w:tcPr>
          <w:p w14:paraId="4C1F1039" w14:textId="77777777" w:rsidR="00460CB3" w:rsidRPr="00C97D5A" w:rsidRDefault="00460CB3" w:rsidP="00F9776F">
            <w:r w:rsidRPr="00C97D5A">
              <w:t>5</w:t>
            </w:r>
          </w:p>
        </w:tc>
        <w:tc>
          <w:tcPr>
            <w:tcW w:w="1710" w:type="dxa"/>
          </w:tcPr>
          <w:p w14:paraId="5EBE463A" w14:textId="742769B2" w:rsidR="00460CB3" w:rsidRPr="00C97D5A" w:rsidRDefault="006716DD" w:rsidP="00F9776F">
            <w:r>
              <w:t>Functional Testing</w:t>
            </w:r>
          </w:p>
        </w:tc>
        <w:tc>
          <w:tcPr>
            <w:tcW w:w="6385" w:type="dxa"/>
          </w:tcPr>
          <w:p w14:paraId="44991203" w14:textId="2668B8BE" w:rsidR="00460CB3" w:rsidRPr="00C97D5A" w:rsidRDefault="00460CB3" w:rsidP="00F9776F">
            <w:r w:rsidRPr="00460CB3">
              <w:t>Functional testing post-sterilization to ensure device integrity and usability, including ISO 10993 biocompatibility assessments.</w:t>
            </w:r>
          </w:p>
        </w:tc>
      </w:tr>
    </w:tbl>
    <w:p w14:paraId="50E6691D" w14:textId="77777777" w:rsidR="009A2840" w:rsidRPr="009A2840" w:rsidRDefault="009A2840" w:rsidP="009A2840">
      <w:pPr>
        <w:ind w:left="360"/>
      </w:pPr>
    </w:p>
    <w:p w14:paraId="434E4D79" w14:textId="33D526C9" w:rsidR="008952B6" w:rsidRPr="008952B6" w:rsidRDefault="008952B6" w:rsidP="00EB0BB4">
      <w:pPr>
        <w:ind w:firstLine="720"/>
      </w:pPr>
      <w:r w:rsidRPr="008952B6">
        <w:rPr>
          <w:b/>
          <w:bCs/>
        </w:rPr>
        <w:t>Regulatory and Testing Requirements</w:t>
      </w:r>
    </w:p>
    <w:p w14:paraId="2DFEFACB" w14:textId="77777777" w:rsidR="008952B6" w:rsidRPr="008952B6" w:rsidRDefault="008952B6" w:rsidP="008952B6">
      <w:pPr>
        <w:ind w:left="720"/>
      </w:pPr>
      <w:r w:rsidRPr="008952B6">
        <w:t>To ensure compliance with FDA and international regulatory standards, testing must adhere to the following:</w:t>
      </w:r>
    </w:p>
    <w:p w14:paraId="29E7FD70" w14:textId="622BE757" w:rsidR="008952B6" w:rsidRPr="00EB0BB4" w:rsidRDefault="008952B6" w:rsidP="00E15916">
      <w:pPr>
        <w:numPr>
          <w:ilvl w:val="2"/>
          <w:numId w:val="13"/>
        </w:numPr>
      </w:pPr>
      <w:r w:rsidRPr="008952B6">
        <w:rPr>
          <w:b/>
          <w:bCs/>
        </w:rPr>
        <w:t xml:space="preserve">ISO 11135:2014 </w:t>
      </w:r>
      <w:r w:rsidR="00456698">
        <w:rPr>
          <w:b/>
          <w:bCs/>
        </w:rPr>
        <w:t>Annex E</w:t>
      </w:r>
      <w:r w:rsidRPr="008952B6">
        <w:rPr>
          <w:b/>
          <w:bCs/>
        </w:rPr>
        <w:t>- S</w:t>
      </w:r>
      <w:r w:rsidR="00456698">
        <w:rPr>
          <w:b/>
          <w:bCs/>
        </w:rPr>
        <w:t>ingle Lot Release</w:t>
      </w:r>
    </w:p>
    <w:p w14:paraId="1B8E396E" w14:textId="77777777" w:rsidR="00EB6EE0" w:rsidRDefault="00EB6EE0" w:rsidP="00EB0BB4">
      <w:pPr>
        <w:ind w:left="720"/>
      </w:pPr>
      <w:r w:rsidRPr="00EB6EE0">
        <w:t xml:space="preserve">ISO 11135:2014 Annex E establishes detailed requirements for the validation and routine control of EO sterilization to ensure effectiveness and reproducibility. Bioburden testing must be performed pre-sterilization to quantify microbial load, ensuring sterility assurance levels (SAL) are met. The EO sterilization process should follow a structured approach incorporating fractional cycles to determine process efficacy and establish worst-case sterilization conditions. </w:t>
      </w:r>
    </w:p>
    <w:p w14:paraId="44AB673F" w14:textId="662000E9" w:rsidR="00EB0BB4" w:rsidRPr="00EB0BB4" w:rsidRDefault="00EB6EE0" w:rsidP="00EB0BB4">
      <w:pPr>
        <w:ind w:left="720"/>
      </w:pPr>
      <w:r w:rsidRPr="00EB6EE0">
        <w:t xml:space="preserve">The validation process includes executing a half-cycle exposure followed by a full-cycle to confirm the process achieves the required sterility assurance level </w:t>
      </w:r>
      <w:r>
        <w:t xml:space="preserve">after each cycle </w:t>
      </w:r>
      <w:r w:rsidRPr="00EB6EE0">
        <w:t>while maintaining compliance with ISO 10993-7 residual limits. Internal process challenge devices (</w:t>
      </w:r>
      <w:proofErr w:type="spellStart"/>
      <w:r w:rsidRPr="00EB6EE0">
        <w:t>iPCDs</w:t>
      </w:r>
      <w:proofErr w:type="spellEnd"/>
      <w:r w:rsidRPr="00EB6EE0">
        <w:t xml:space="preserve">) must be strategically placed within the sterilization load to assess the most challenging sterilization conditions and confirm process effectiveness. The sterilization process is considered validated only if all test microorganisms from the </w:t>
      </w:r>
      <w:proofErr w:type="spellStart"/>
      <w:r w:rsidRPr="00EB6EE0">
        <w:t>iPCDs</w:t>
      </w:r>
      <w:proofErr w:type="spellEnd"/>
      <w:r w:rsidRPr="00EB6EE0">
        <w:t xml:space="preserve"> exposed to the fractional </w:t>
      </w:r>
      <w:r w:rsidR="007170E4">
        <w:t xml:space="preserve">and full </w:t>
      </w:r>
      <w:r w:rsidRPr="00EB6EE0">
        <w:t>cycle demonstrate no viable growth post-exposure</w:t>
      </w:r>
      <w:r w:rsidR="001C4C7F">
        <w:t xml:space="preserve"> and </w:t>
      </w:r>
      <w:r w:rsidR="007170E4">
        <w:t>naïve product sterility testing demonstrates no viable growth</w:t>
      </w:r>
      <w:r w:rsidRPr="00EB6EE0">
        <w:t>.</w:t>
      </w:r>
    </w:p>
    <w:p w14:paraId="2E57FDA3" w14:textId="418C9E9B" w:rsidR="00EB0BB4" w:rsidRPr="007170E4" w:rsidRDefault="00EB0BB4" w:rsidP="00EB0BB4">
      <w:pPr>
        <w:numPr>
          <w:ilvl w:val="3"/>
          <w:numId w:val="13"/>
        </w:numPr>
      </w:pPr>
      <w:r>
        <w:rPr>
          <w:b/>
          <w:bCs/>
        </w:rPr>
        <w:t>Functional Testing</w:t>
      </w:r>
    </w:p>
    <w:p w14:paraId="6335A942" w14:textId="129AA71D" w:rsidR="007170E4" w:rsidRDefault="007170E4" w:rsidP="007170E4">
      <w:pPr>
        <w:ind w:left="720"/>
        <w:rPr>
          <w:bCs/>
        </w:rPr>
      </w:pPr>
      <w:r w:rsidRPr="007170E4">
        <w:t>The standard</w:t>
      </w:r>
      <w:r>
        <w:t xml:space="preserve"> requires that manufacturers </w:t>
      </w:r>
      <w:r w:rsidR="007C1B6E">
        <w:t>document and successfully complete</w:t>
      </w:r>
      <w:r w:rsidR="00C304EC" w:rsidRPr="00C304EC">
        <w:rPr>
          <w:bCs/>
        </w:rPr>
        <w:t xml:space="preserve"> </w:t>
      </w:r>
      <w:r w:rsidR="00C304EC">
        <w:rPr>
          <w:bCs/>
        </w:rPr>
        <w:t>product functionality testing to c</w:t>
      </w:r>
      <w:r w:rsidR="00C304EC" w:rsidRPr="008006F9">
        <w:rPr>
          <w:bCs/>
        </w:rPr>
        <w:t>onfirm that the sterilization cycle does not negatively impact the intended use of the product</w:t>
      </w:r>
      <w:r w:rsidR="007C1B6E">
        <w:rPr>
          <w:bCs/>
        </w:rPr>
        <w:t xml:space="preserve">. </w:t>
      </w:r>
      <w:r w:rsidR="002021F0" w:rsidRPr="008006F9">
        <w:rPr>
          <w:bCs/>
        </w:rPr>
        <w:t>Test</w:t>
      </w:r>
      <w:r w:rsidR="002021F0">
        <w:rPr>
          <w:bCs/>
        </w:rPr>
        <w:t>ing will demonstrate that the critical functions of the device remain intact</w:t>
      </w:r>
      <w:r w:rsidR="002021F0" w:rsidRPr="008006F9">
        <w:rPr>
          <w:bCs/>
        </w:rPr>
        <w:t xml:space="preserve"> immediately after sterilization (e.g., usability, operational performance).</w:t>
      </w:r>
    </w:p>
    <w:p w14:paraId="6A6A51EC" w14:textId="2D2A8633" w:rsidR="005B7103" w:rsidRPr="008952B6" w:rsidRDefault="005B7103" w:rsidP="007170E4">
      <w:pPr>
        <w:ind w:left="720"/>
      </w:pPr>
      <w:r>
        <w:rPr>
          <w:bCs/>
        </w:rPr>
        <w:t xml:space="preserve">There are several options for the type of sterilization cycle used for product functionality testing. </w:t>
      </w:r>
      <w:r w:rsidR="00B420C3">
        <w:rPr>
          <w:bCs/>
        </w:rPr>
        <w:t>A</w:t>
      </w:r>
      <w:r>
        <w:rPr>
          <w:bCs/>
        </w:rPr>
        <w:t xml:space="preserve"> 2x sterilization cycle </w:t>
      </w:r>
      <w:r w:rsidR="00B420C3">
        <w:rPr>
          <w:bCs/>
        </w:rPr>
        <w:t xml:space="preserve">can be used </w:t>
      </w:r>
      <w:r>
        <w:rPr>
          <w:bCs/>
        </w:rPr>
        <w:t>to represent the worst-case processing condition. This will demonstrate the product functionality relative to the lot release approach described above as per Annex E of ISO 11135:2014 (1.5x sterilization cycle), as well as future sterilization cycles which may require reprocessing (2x sterilization cycle).</w:t>
      </w:r>
    </w:p>
    <w:p w14:paraId="0516BCAE" w14:textId="77777777" w:rsidR="008952B6" w:rsidRPr="008952B6" w:rsidRDefault="008952B6" w:rsidP="000E1752">
      <w:pPr>
        <w:numPr>
          <w:ilvl w:val="2"/>
          <w:numId w:val="13"/>
        </w:numPr>
      </w:pPr>
      <w:r w:rsidRPr="008952B6">
        <w:rPr>
          <w:b/>
          <w:bCs/>
        </w:rPr>
        <w:t>ASTM F88/F88M - Seal Strength Testing</w:t>
      </w:r>
    </w:p>
    <w:p w14:paraId="1970A8FA" w14:textId="77777777" w:rsidR="00EF35F0" w:rsidRDefault="00EF35F0" w:rsidP="00EF35F0">
      <w:pPr>
        <w:ind w:left="720"/>
      </w:pPr>
      <w:r w:rsidRPr="00EF35F0">
        <w:t xml:space="preserve">ASTM F88/F88M defines the process for measuring package seal strength to confirm the sterile barrier's integrity. Seal strength must exceed the minimum force threshold to prevent </w:t>
      </w:r>
      <w:r w:rsidRPr="00EF35F0">
        <w:lastRenderedPageBreak/>
        <w:t>contamination during transport and storage. The testing is conducted under tensile conditions, and failure modes must be documented to ensure consistent quality. The process includes testing at both minimum and maximum sealing parameters during operational and performance qualification phases.</w:t>
      </w:r>
    </w:p>
    <w:p w14:paraId="3CB55F66" w14:textId="46D2A0D3" w:rsidR="008952B6" w:rsidRPr="008952B6" w:rsidRDefault="008952B6" w:rsidP="00EF35F0">
      <w:pPr>
        <w:pStyle w:val="ListParagraph"/>
        <w:numPr>
          <w:ilvl w:val="2"/>
          <w:numId w:val="13"/>
        </w:numPr>
      </w:pPr>
      <w:r w:rsidRPr="00EF35F0">
        <w:rPr>
          <w:b/>
          <w:bCs/>
        </w:rPr>
        <w:t>ASTM F2096 - Bubble Leak Testing</w:t>
      </w:r>
    </w:p>
    <w:p w14:paraId="2E5892C0" w14:textId="17028ACC" w:rsidR="00453659" w:rsidRDefault="00453659" w:rsidP="00453659">
      <w:pPr>
        <w:ind w:left="720"/>
      </w:pPr>
      <w:r w:rsidRPr="00453659">
        <w:t>ASTM F2096 outlines the bubble leak test methodology used to detect leaks in sterile barrier systems. This test applies internal air pressure to submerged packages to identify the presence of leaks. According to the standard, packages must not exhibit any continuous or intermittent stream of bubbles under test conditions. The method serves as a non-destructive approach to confirming package integrity before and after sterilization. A minimum of 29 samples per batch must be tested in accordance with regulatory best practices</w:t>
      </w:r>
      <w:r>
        <w:t>.</w:t>
      </w:r>
    </w:p>
    <w:p w14:paraId="31FFACE3" w14:textId="6A67E211" w:rsidR="008952B6" w:rsidRPr="008952B6" w:rsidRDefault="008952B6" w:rsidP="008A145A">
      <w:pPr>
        <w:pStyle w:val="ListParagraph"/>
        <w:numPr>
          <w:ilvl w:val="2"/>
          <w:numId w:val="13"/>
        </w:numPr>
      </w:pPr>
      <w:r w:rsidRPr="008A145A">
        <w:rPr>
          <w:b/>
          <w:bCs/>
        </w:rPr>
        <w:t>ISO 10993 - Biocompatibility Testing</w:t>
      </w:r>
    </w:p>
    <w:p w14:paraId="128D1ED5" w14:textId="403B7295" w:rsidR="00585B65" w:rsidRDefault="003E2CCB" w:rsidP="003E2CCB">
      <w:pPr>
        <w:ind w:left="720"/>
      </w:pPr>
      <w:r w:rsidRPr="003E2CCB">
        <w:t xml:space="preserve">ISO 10993 biocompatibility testing ensures medical devices do not cause adverse biological reactions. </w:t>
      </w:r>
      <w:r w:rsidR="00476C04">
        <w:t xml:space="preserve">This testing is </w:t>
      </w:r>
      <w:r w:rsidR="004B3D42">
        <w:t xml:space="preserve">generally considered </w:t>
      </w:r>
      <w:proofErr w:type="gramStart"/>
      <w:r w:rsidR="00476C04">
        <w:t>mandatory,</w:t>
      </w:r>
      <w:proofErr w:type="gramEnd"/>
      <w:r w:rsidR="00476C04">
        <w:t xml:space="preserve"> however the standard </w:t>
      </w:r>
      <w:r w:rsidR="004B3D42">
        <w:t xml:space="preserve">makes clear that certain testing may not be appropriate provided a risk analysis has determined that the testing would offer no additional </w:t>
      </w:r>
      <w:r w:rsidR="00585B65">
        <w:t>benefit or risk mitigation. This may be based on the material’s historied use in the field, prior chemical characterizations which would be applicable, or evidence from pre-clinical testing</w:t>
      </w:r>
      <w:r w:rsidR="001A6487">
        <w:t xml:space="preserve">. </w:t>
      </w:r>
    </w:p>
    <w:p w14:paraId="264CF731" w14:textId="66945AF4" w:rsidR="003E2CCB" w:rsidRDefault="001A6487" w:rsidP="003E2CCB">
      <w:pPr>
        <w:ind w:left="720"/>
      </w:pPr>
      <w:r>
        <w:t>Biocompatibility</w:t>
      </w:r>
      <w:r w:rsidR="003E2CCB" w:rsidRPr="003E2CCB">
        <w:t xml:space="preserve"> testing includes cytotoxicity, sensitization, and irritation </w:t>
      </w:r>
      <w:r w:rsidR="008867C8">
        <w:t xml:space="preserve">among other </w:t>
      </w:r>
      <w:r w:rsidR="003E2CCB" w:rsidRPr="003E2CCB">
        <w:t xml:space="preserve">assessments to confirm patient safety. Testing is </w:t>
      </w:r>
      <w:r w:rsidR="00583268">
        <w:t xml:space="preserve">often </w:t>
      </w:r>
      <w:r w:rsidR="003E2CCB" w:rsidRPr="003E2CCB">
        <w:t>conducted under worst-case conditions, taking into consideration multiple sterilization cycles when applicable.</w:t>
      </w:r>
      <w:r w:rsidR="00583268">
        <w:t xml:space="preserve"> Testing may also be conducted on representative samples in cases </w:t>
      </w:r>
      <w:r w:rsidR="001A3789">
        <w:t>where practical challenges prevent meeting explicit requirements for surface area o</w:t>
      </w:r>
      <w:r w:rsidR="008A145A">
        <w:t>r</w:t>
      </w:r>
      <w:r w:rsidR="001A3789">
        <w:t xml:space="preserve"> volume defined in the standards.</w:t>
      </w:r>
      <w:r w:rsidR="001626F7">
        <w:t xml:space="preserve"> Depending on your pre-clinical work, and your relationship with the FDA through pre-sub discussions, it’s not uncommon for the FDA to intimate their willingness to accept justifications in lieu of testing, particularly for genotoxicity, carcinogenicity, and systemic toxicity. </w:t>
      </w:r>
    </w:p>
    <w:p w14:paraId="1115C9BB" w14:textId="6083D150" w:rsidR="00146F7F" w:rsidRDefault="006A27DF" w:rsidP="00D766A0">
      <w:pPr>
        <w:ind w:left="720"/>
      </w:pPr>
      <w:r w:rsidRPr="006A27DF">
        <w:fldChar w:fldCharType="begin"/>
      </w:r>
      <w:r w:rsidRPr="006A27DF">
        <w:instrText xml:space="preserve"> REF _Ref190721628 \h </w:instrText>
      </w:r>
      <w:r>
        <w:instrText xml:space="preserve"> \* MERGEFORMAT </w:instrText>
      </w:r>
      <w:r w:rsidRPr="006A27DF">
        <w:fldChar w:fldCharType="separate"/>
      </w:r>
      <w:r w:rsidR="004E3FDF" w:rsidRPr="004E3FDF">
        <w:rPr>
          <w:b/>
          <w:bCs/>
        </w:rPr>
        <w:t>Table 2</w:t>
      </w:r>
      <w:r w:rsidRPr="006A27DF">
        <w:fldChar w:fldCharType="end"/>
      </w:r>
      <w:r w:rsidRPr="006A27DF">
        <w:t xml:space="preserve"> </w:t>
      </w:r>
      <w:r w:rsidR="003E2CCB" w:rsidRPr="003E2CCB">
        <w:t>outlines the required biocompatibility tests based on device type, tissue contact, and contact duration as per ISO 10993-1</w:t>
      </w:r>
      <w:r w:rsidR="00AD07A8">
        <w:t>:2009(E)</w:t>
      </w:r>
      <w:r w:rsidR="003E2CCB" w:rsidRPr="003E2CCB">
        <w:t>:</w:t>
      </w:r>
    </w:p>
    <w:p w14:paraId="08AC7069" w14:textId="77777777" w:rsidR="00146F7F" w:rsidRDefault="00146F7F">
      <w:r>
        <w:br w:type="page"/>
      </w:r>
    </w:p>
    <w:p w14:paraId="400CD90C" w14:textId="21E1ABCF" w:rsidR="003E31DC" w:rsidRDefault="003E31DC" w:rsidP="003E31DC">
      <w:pPr>
        <w:pStyle w:val="Caption"/>
        <w:keepNext/>
        <w:spacing w:after="60"/>
        <w:jc w:val="center"/>
        <w:rPr>
          <w:b/>
          <w:bCs/>
          <w:i w:val="0"/>
          <w:iCs w:val="0"/>
          <w:color w:val="auto"/>
          <w:sz w:val="22"/>
          <w:szCs w:val="22"/>
        </w:rPr>
      </w:pPr>
      <w:bookmarkStart w:id="1" w:name="_Ref190721628"/>
      <w:r w:rsidRPr="003E31DC">
        <w:rPr>
          <w:b/>
          <w:bCs/>
          <w:i w:val="0"/>
          <w:iCs w:val="0"/>
          <w:color w:val="auto"/>
          <w:sz w:val="22"/>
          <w:szCs w:val="22"/>
        </w:rPr>
        <w:lastRenderedPageBreak/>
        <w:t xml:space="preserve">Table </w:t>
      </w:r>
      <w:r w:rsidRPr="003E31DC">
        <w:rPr>
          <w:b/>
          <w:bCs/>
          <w:i w:val="0"/>
          <w:iCs w:val="0"/>
          <w:color w:val="auto"/>
          <w:sz w:val="22"/>
          <w:szCs w:val="22"/>
        </w:rPr>
        <w:fldChar w:fldCharType="begin"/>
      </w:r>
      <w:r w:rsidRPr="003E31DC">
        <w:rPr>
          <w:b/>
          <w:bCs/>
          <w:i w:val="0"/>
          <w:iCs w:val="0"/>
          <w:color w:val="auto"/>
          <w:sz w:val="22"/>
          <w:szCs w:val="22"/>
        </w:rPr>
        <w:instrText xml:space="preserve"> SEQ Table \* ARABIC </w:instrText>
      </w:r>
      <w:r w:rsidRPr="003E31DC">
        <w:rPr>
          <w:b/>
          <w:bCs/>
          <w:i w:val="0"/>
          <w:iCs w:val="0"/>
          <w:color w:val="auto"/>
          <w:sz w:val="22"/>
          <w:szCs w:val="22"/>
        </w:rPr>
        <w:fldChar w:fldCharType="separate"/>
      </w:r>
      <w:r w:rsidR="004E3FDF">
        <w:rPr>
          <w:b/>
          <w:bCs/>
          <w:i w:val="0"/>
          <w:iCs w:val="0"/>
          <w:noProof/>
          <w:color w:val="auto"/>
          <w:sz w:val="22"/>
          <w:szCs w:val="22"/>
        </w:rPr>
        <w:t>2</w:t>
      </w:r>
      <w:r w:rsidRPr="003E31DC">
        <w:rPr>
          <w:b/>
          <w:bCs/>
          <w:i w:val="0"/>
          <w:iCs w:val="0"/>
          <w:color w:val="auto"/>
          <w:sz w:val="22"/>
          <w:szCs w:val="22"/>
        </w:rPr>
        <w:fldChar w:fldCharType="end"/>
      </w:r>
      <w:bookmarkEnd w:id="1"/>
      <w:r w:rsidRPr="003E31DC">
        <w:rPr>
          <w:b/>
          <w:bCs/>
          <w:i w:val="0"/>
          <w:iCs w:val="0"/>
          <w:color w:val="auto"/>
          <w:sz w:val="22"/>
          <w:szCs w:val="22"/>
        </w:rPr>
        <w:t>: ISO 10993-1:2009(E) Annex A</w:t>
      </w:r>
    </w:p>
    <w:p w14:paraId="5CB22E1C" w14:textId="5295B82F" w:rsidR="003E31DC" w:rsidRPr="003E31DC" w:rsidRDefault="003E31DC" w:rsidP="003E31DC">
      <w:pPr>
        <w:pStyle w:val="Caption"/>
        <w:keepNext/>
        <w:jc w:val="center"/>
        <w:rPr>
          <w:b/>
          <w:bCs/>
          <w:i w:val="0"/>
          <w:iCs w:val="0"/>
          <w:color w:val="auto"/>
          <w:sz w:val="22"/>
          <w:szCs w:val="22"/>
        </w:rPr>
      </w:pPr>
      <w:r w:rsidRPr="003E31DC">
        <w:rPr>
          <w:b/>
          <w:bCs/>
          <w:i w:val="0"/>
          <w:iCs w:val="0"/>
          <w:color w:val="auto"/>
          <w:sz w:val="22"/>
          <w:szCs w:val="22"/>
        </w:rPr>
        <w:t>Evaluation tests for consideration</w:t>
      </w:r>
    </w:p>
    <w:tbl>
      <w:tblPr>
        <w:tblW w:w="9558" w:type="dxa"/>
        <w:jc w:val="center"/>
        <w:tblLayout w:type="fixed"/>
        <w:tblCellMar>
          <w:top w:w="14" w:type="dxa"/>
          <w:left w:w="72" w:type="dxa"/>
          <w:bottom w:w="14" w:type="dxa"/>
          <w:right w:w="72" w:type="dxa"/>
        </w:tblCellMar>
        <w:tblLook w:val="04A0" w:firstRow="1" w:lastRow="0" w:firstColumn="1" w:lastColumn="0" w:noHBand="0" w:noVBand="1"/>
      </w:tblPr>
      <w:tblGrid>
        <w:gridCol w:w="1413"/>
        <w:gridCol w:w="1281"/>
        <w:gridCol w:w="864"/>
        <w:gridCol w:w="750"/>
        <w:gridCol w:w="750"/>
        <w:gridCol w:w="750"/>
        <w:gridCol w:w="750"/>
        <w:gridCol w:w="750"/>
        <w:gridCol w:w="750"/>
        <w:gridCol w:w="750"/>
        <w:gridCol w:w="750"/>
      </w:tblGrid>
      <w:tr w:rsidR="00F37E5D" w:rsidRPr="00456457" w14:paraId="7D6F65E1" w14:textId="77777777" w:rsidTr="008343B3">
        <w:trPr>
          <w:cantSplit/>
          <w:trHeight w:val="1944"/>
          <w:jc w:val="center"/>
        </w:trPr>
        <w:tc>
          <w:tcPr>
            <w:tcW w:w="1413" w:type="dxa"/>
            <w:tcBorders>
              <w:bottom w:val="single" w:sz="8" w:space="0" w:color="auto"/>
            </w:tcBorders>
            <w:shd w:val="clear" w:color="auto" w:fill="auto"/>
            <w:noWrap/>
            <w:vAlign w:val="bottom"/>
            <w:hideMark/>
          </w:tcPr>
          <w:p w14:paraId="1B8B192E" w14:textId="0A43E334" w:rsidR="00F37E5D" w:rsidRPr="00456457" w:rsidRDefault="00F37E5D" w:rsidP="00456457">
            <w:pPr>
              <w:spacing w:after="0" w:line="240" w:lineRule="auto"/>
              <w:jc w:val="center"/>
              <w:rPr>
                <w:rFonts w:ascii="Calibri" w:eastAsia="Times New Roman" w:hAnsi="Calibri" w:cs="Calibri"/>
                <w:b/>
                <w:bCs/>
                <w:color w:val="000000"/>
              </w:rPr>
            </w:pPr>
          </w:p>
        </w:tc>
        <w:tc>
          <w:tcPr>
            <w:tcW w:w="1281" w:type="dxa"/>
            <w:tcBorders>
              <w:bottom w:val="single" w:sz="8" w:space="0" w:color="auto"/>
              <w:right w:val="single" w:sz="8" w:space="0" w:color="auto"/>
            </w:tcBorders>
            <w:shd w:val="clear" w:color="auto" w:fill="auto"/>
            <w:noWrap/>
            <w:vAlign w:val="bottom"/>
            <w:hideMark/>
          </w:tcPr>
          <w:p w14:paraId="4251B43B" w14:textId="39C16AAA" w:rsidR="00F37E5D" w:rsidRPr="00456457" w:rsidRDefault="00F37E5D" w:rsidP="00456457">
            <w:pPr>
              <w:spacing w:after="0" w:line="240" w:lineRule="auto"/>
              <w:jc w:val="center"/>
              <w:rPr>
                <w:rFonts w:ascii="Calibri" w:eastAsia="Times New Roman" w:hAnsi="Calibri" w:cs="Calibri"/>
                <w:b/>
                <w:bCs/>
                <w:color w:val="000000"/>
              </w:rPr>
            </w:pPr>
          </w:p>
        </w:tc>
        <w:tc>
          <w:tcPr>
            <w:tcW w:w="864" w:type="dxa"/>
            <w:vMerge w:val="restart"/>
            <w:tcBorders>
              <w:top w:val="single" w:sz="8" w:space="0" w:color="auto"/>
              <w:left w:val="single" w:sz="8" w:space="0" w:color="auto"/>
              <w:bottom w:val="single" w:sz="8" w:space="0" w:color="auto"/>
              <w:right w:val="single" w:sz="8" w:space="0" w:color="auto"/>
            </w:tcBorders>
            <w:shd w:val="clear" w:color="auto" w:fill="auto"/>
            <w:textDirection w:val="btLr"/>
            <w:vAlign w:val="center"/>
            <w:hideMark/>
          </w:tcPr>
          <w:p w14:paraId="537C0FF4" w14:textId="77777777" w:rsidR="00F37E5D" w:rsidRPr="00456457" w:rsidRDefault="00F37E5D" w:rsidP="00146F7F">
            <w:pPr>
              <w:spacing w:after="0" w:line="240" w:lineRule="auto"/>
              <w:ind w:left="113" w:right="113"/>
              <w:rPr>
                <w:rFonts w:ascii="Calibri" w:eastAsia="Times New Roman" w:hAnsi="Calibri" w:cs="Calibri"/>
                <w:b/>
                <w:bCs/>
                <w:color w:val="000000"/>
              </w:rPr>
            </w:pPr>
            <w:r w:rsidRPr="00456457">
              <w:rPr>
                <w:rFonts w:ascii="Calibri" w:eastAsia="Times New Roman" w:hAnsi="Calibri" w:cs="Calibri"/>
                <w:b/>
                <w:bCs/>
                <w:color w:val="000000"/>
              </w:rPr>
              <w:t>Contact Duration</w:t>
            </w:r>
            <w:r w:rsidRPr="00456457">
              <w:rPr>
                <w:rFonts w:ascii="Calibri" w:eastAsia="Times New Roman" w:hAnsi="Calibri" w:cs="Calibri"/>
                <w:b/>
                <w:bCs/>
                <w:color w:val="000000"/>
              </w:rPr>
              <w:br/>
            </w:r>
            <w:r w:rsidRPr="00456457">
              <w:rPr>
                <w:rFonts w:ascii="Calibri" w:eastAsia="Times New Roman" w:hAnsi="Calibri" w:cs="Calibri"/>
                <w:color w:val="000000"/>
                <w:sz w:val="18"/>
                <w:szCs w:val="18"/>
              </w:rPr>
              <w:t xml:space="preserve">A: ≤24h; B: 24h-30d; C:&gt;30d   </w:t>
            </w:r>
          </w:p>
        </w:tc>
        <w:tc>
          <w:tcPr>
            <w:tcW w:w="750" w:type="dxa"/>
            <w:vMerge w:val="restart"/>
            <w:tcBorders>
              <w:top w:val="single" w:sz="8" w:space="0" w:color="auto"/>
              <w:left w:val="nil"/>
              <w:right w:val="single" w:sz="8" w:space="0" w:color="auto"/>
            </w:tcBorders>
            <w:shd w:val="clear" w:color="auto" w:fill="auto"/>
            <w:noWrap/>
            <w:textDirection w:val="btLr"/>
            <w:vAlign w:val="center"/>
            <w:hideMark/>
          </w:tcPr>
          <w:p w14:paraId="597CD948" w14:textId="77777777" w:rsidR="00F37E5D" w:rsidRPr="00456457" w:rsidRDefault="00F37E5D" w:rsidP="00146F7F">
            <w:pPr>
              <w:spacing w:after="0" w:line="240" w:lineRule="auto"/>
              <w:ind w:left="113" w:right="113"/>
              <w:rPr>
                <w:rFonts w:ascii="Calibri" w:eastAsia="Times New Roman" w:hAnsi="Calibri" w:cs="Calibri"/>
                <w:b/>
                <w:bCs/>
                <w:color w:val="000000"/>
              </w:rPr>
            </w:pPr>
            <w:r w:rsidRPr="00456457">
              <w:rPr>
                <w:rFonts w:ascii="Calibri" w:eastAsia="Times New Roman" w:hAnsi="Calibri" w:cs="Calibri"/>
                <w:b/>
                <w:bCs/>
                <w:color w:val="000000"/>
              </w:rPr>
              <w:t>Cytotoxicity</w:t>
            </w:r>
          </w:p>
        </w:tc>
        <w:tc>
          <w:tcPr>
            <w:tcW w:w="750" w:type="dxa"/>
            <w:vMerge w:val="restart"/>
            <w:tcBorders>
              <w:top w:val="single" w:sz="8" w:space="0" w:color="auto"/>
              <w:left w:val="nil"/>
              <w:right w:val="single" w:sz="8" w:space="0" w:color="auto"/>
            </w:tcBorders>
            <w:shd w:val="clear" w:color="auto" w:fill="auto"/>
            <w:noWrap/>
            <w:textDirection w:val="btLr"/>
            <w:vAlign w:val="center"/>
            <w:hideMark/>
          </w:tcPr>
          <w:p w14:paraId="25A8909A" w14:textId="77777777" w:rsidR="00F37E5D" w:rsidRPr="00456457" w:rsidRDefault="00F37E5D" w:rsidP="00146F7F">
            <w:pPr>
              <w:spacing w:after="0" w:line="240" w:lineRule="auto"/>
              <w:ind w:left="113" w:right="113"/>
              <w:rPr>
                <w:rFonts w:ascii="Calibri" w:eastAsia="Times New Roman" w:hAnsi="Calibri" w:cs="Calibri"/>
                <w:b/>
                <w:bCs/>
                <w:color w:val="000000"/>
              </w:rPr>
            </w:pPr>
            <w:r w:rsidRPr="00456457">
              <w:rPr>
                <w:rFonts w:ascii="Calibri" w:eastAsia="Times New Roman" w:hAnsi="Calibri" w:cs="Calibri"/>
                <w:b/>
                <w:bCs/>
                <w:color w:val="000000"/>
              </w:rPr>
              <w:t>Sensitization</w:t>
            </w:r>
          </w:p>
        </w:tc>
        <w:tc>
          <w:tcPr>
            <w:tcW w:w="750" w:type="dxa"/>
            <w:vMerge w:val="restart"/>
            <w:tcBorders>
              <w:top w:val="single" w:sz="8" w:space="0" w:color="auto"/>
              <w:left w:val="nil"/>
              <w:right w:val="single" w:sz="8" w:space="0" w:color="auto"/>
            </w:tcBorders>
            <w:shd w:val="clear" w:color="auto" w:fill="auto"/>
            <w:noWrap/>
            <w:textDirection w:val="btLr"/>
            <w:vAlign w:val="center"/>
            <w:hideMark/>
          </w:tcPr>
          <w:p w14:paraId="4EC01792" w14:textId="77777777" w:rsidR="00F37E5D" w:rsidRPr="00456457" w:rsidRDefault="00F37E5D" w:rsidP="00146F7F">
            <w:pPr>
              <w:spacing w:after="0" w:line="240" w:lineRule="auto"/>
              <w:ind w:left="113" w:right="113"/>
              <w:rPr>
                <w:rFonts w:ascii="Calibri" w:eastAsia="Times New Roman" w:hAnsi="Calibri" w:cs="Calibri"/>
                <w:b/>
                <w:bCs/>
                <w:color w:val="000000"/>
              </w:rPr>
            </w:pPr>
            <w:r w:rsidRPr="00456457">
              <w:rPr>
                <w:rFonts w:ascii="Calibri" w:eastAsia="Times New Roman" w:hAnsi="Calibri" w:cs="Calibri"/>
                <w:b/>
                <w:bCs/>
                <w:color w:val="000000"/>
              </w:rPr>
              <w:t>Irritation/Intracutaneous Reactivity</w:t>
            </w:r>
          </w:p>
        </w:tc>
        <w:tc>
          <w:tcPr>
            <w:tcW w:w="750" w:type="dxa"/>
            <w:vMerge w:val="restart"/>
            <w:tcBorders>
              <w:top w:val="single" w:sz="8" w:space="0" w:color="auto"/>
              <w:left w:val="nil"/>
              <w:right w:val="single" w:sz="8" w:space="0" w:color="auto"/>
            </w:tcBorders>
            <w:shd w:val="clear" w:color="auto" w:fill="auto"/>
            <w:noWrap/>
            <w:textDirection w:val="btLr"/>
            <w:vAlign w:val="center"/>
            <w:hideMark/>
          </w:tcPr>
          <w:p w14:paraId="3A551BA6" w14:textId="77777777" w:rsidR="00F37E5D" w:rsidRPr="00456457" w:rsidRDefault="00F37E5D" w:rsidP="00146F7F">
            <w:pPr>
              <w:spacing w:after="0" w:line="240" w:lineRule="auto"/>
              <w:ind w:left="113" w:right="113"/>
              <w:rPr>
                <w:rFonts w:ascii="Calibri" w:eastAsia="Times New Roman" w:hAnsi="Calibri" w:cs="Calibri"/>
                <w:b/>
                <w:bCs/>
                <w:color w:val="000000"/>
              </w:rPr>
            </w:pPr>
            <w:r w:rsidRPr="00456457">
              <w:rPr>
                <w:rFonts w:ascii="Calibri" w:eastAsia="Times New Roman" w:hAnsi="Calibri" w:cs="Calibri"/>
                <w:b/>
                <w:bCs/>
                <w:color w:val="000000"/>
              </w:rPr>
              <w:t>Systemic Toxicity (Acute)</w:t>
            </w:r>
          </w:p>
        </w:tc>
        <w:tc>
          <w:tcPr>
            <w:tcW w:w="750" w:type="dxa"/>
            <w:vMerge w:val="restart"/>
            <w:tcBorders>
              <w:top w:val="single" w:sz="8" w:space="0" w:color="auto"/>
              <w:left w:val="nil"/>
              <w:right w:val="single" w:sz="8" w:space="0" w:color="auto"/>
            </w:tcBorders>
            <w:shd w:val="clear" w:color="auto" w:fill="auto"/>
            <w:noWrap/>
            <w:textDirection w:val="btLr"/>
            <w:vAlign w:val="center"/>
            <w:hideMark/>
          </w:tcPr>
          <w:p w14:paraId="6E128073" w14:textId="77777777" w:rsidR="00F37E5D" w:rsidRPr="00456457" w:rsidRDefault="00F37E5D" w:rsidP="00146F7F">
            <w:pPr>
              <w:spacing w:after="0" w:line="240" w:lineRule="auto"/>
              <w:ind w:left="113" w:right="113"/>
              <w:rPr>
                <w:rFonts w:ascii="Calibri" w:eastAsia="Times New Roman" w:hAnsi="Calibri" w:cs="Calibri"/>
                <w:b/>
                <w:bCs/>
                <w:color w:val="000000"/>
              </w:rPr>
            </w:pPr>
            <w:proofErr w:type="spellStart"/>
            <w:r w:rsidRPr="00456457">
              <w:rPr>
                <w:rFonts w:ascii="Calibri" w:eastAsia="Times New Roman" w:hAnsi="Calibri" w:cs="Calibri"/>
                <w:b/>
                <w:bCs/>
                <w:color w:val="000000"/>
              </w:rPr>
              <w:t>Subchronic</w:t>
            </w:r>
            <w:proofErr w:type="spellEnd"/>
            <w:r w:rsidRPr="00456457">
              <w:rPr>
                <w:rFonts w:ascii="Calibri" w:eastAsia="Times New Roman" w:hAnsi="Calibri" w:cs="Calibri"/>
                <w:b/>
                <w:bCs/>
                <w:color w:val="000000"/>
              </w:rPr>
              <w:t xml:space="preserve"> Toxicity</w:t>
            </w:r>
          </w:p>
        </w:tc>
        <w:tc>
          <w:tcPr>
            <w:tcW w:w="750" w:type="dxa"/>
            <w:vMerge w:val="restart"/>
            <w:tcBorders>
              <w:top w:val="single" w:sz="8" w:space="0" w:color="auto"/>
              <w:left w:val="nil"/>
              <w:right w:val="single" w:sz="8" w:space="0" w:color="auto"/>
            </w:tcBorders>
            <w:shd w:val="clear" w:color="auto" w:fill="auto"/>
            <w:noWrap/>
            <w:textDirection w:val="btLr"/>
            <w:vAlign w:val="center"/>
            <w:hideMark/>
          </w:tcPr>
          <w:p w14:paraId="56D6B11D" w14:textId="77777777" w:rsidR="00F37E5D" w:rsidRPr="00456457" w:rsidRDefault="00F37E5D" w:rsidP="00146F7F">
            <w:pPr>
              <w:spacing w:after="0" w:line="240" w:lineRule="auto"/>
              <w:ind w:left="113" w:right="113"/>
              <w:rPr>
                <w:rFonts w:ascii="Calibri" w:eastAsia="Times New Roman" w:hAnsi="Calibri" w:cs="Calibri"/>
                <w:b/>
                <w:bCs/>
                <w:color w:val="000000"/>
              </w:rPr>
            </w:pPr>
            <w:r w:rsidRPr="00456457">
              <w:rPr>
                <w:rFonts w:ascii="Calibri" w:eastAsia="Times New Roman" w:hAnsi="Calibri" w:cs="Calibri"/>
                <w:b/>
                <w:bCs/>
                <w:color w:val="000000"/>
              </w:rPr>
              <w:t>Genotoxicity</w:t>
            </w:r>
          </w:p>
        </w:tc>
        <w:tc>
          <w:tcPr>
            <w:tcW w:w="750" w:type="dxa"/>
            <w:vMerge w:val="restart"/>
            <w:tcBorders>
              <w:top w:val="single" w:sz="8" w:space="0" w:color="auto"/>
              <w:left w:val="nil"/>
              <w:right w:val="single" w:sz="8" w:space="0" w:color="auto"/>
            </w:tcBorders>
            <w:shd w:val="clear" w:color="auto" w:fill="auto"/>
            <w:noWrap/>
            <w:textDirection w:val="btLr"/>
            <w:vAlign w:val="center"/>
            <w:hideMark/>
          </w:tcPr>
          <w:p w14:paraId="055590C3" w14:textId="77777777" w:rsidR="00F37E5D" w:rsidRPr="00456457" w:rsidRDefault="00F37E5D" w:rsidP="00146F7F">
            <w:pPr>
              <w:spacing w:after="0" w:line="240" w:lineRule="auto"/>
              <w:ind w:left="113" w:right="113"/>
              <w:rPr>
                <w:rFonts w:ascii="Calibri" w:eastAsia="Times New Roman" w:hAnsi="Calibri" w:cs="Calibri"/>
                <w:b/>
                <w:bCs/>
                <w:color w:val="000000"/>
              </w:rPr>
            </w:pPr>
            <w:r w:rsidRPr="00456457">
              <w:rPr>
                <w:rFonts w:ascii="Calibri" w:eastAsia="Times New Roman" w:hAnsi="Calibri" w:cs="Calibri"/>
                <w:b/>
                <w:bCs/>
                <w:color w:val="000000"/>
              </w:rPr>
              <w:t>Implantation</w:t>
            </w:r>
          </w:p>
        </w:tc>
        <w:tc>
          <w:tcPr>
            <w:tcW w:w="750" w:type="dxa"/>
            <w:vMerge w:val="restart"/>
            <w:tcBorders>
              <w:top w:val="single" w:sz="8" w:space="0" w:color="auto"/>
              <w:left w:val="nil"/>
              <w:right w:val="single" w:sz="8" w:space="0" w:color="auto"/>
            </w:tcBorders>
            <w:shd w:val="clear" w:color="auto" w:fill="auto"/>
            <w:noWrap/>
            <w:textDirection w:val="btLr"/>
            <w:vAlign w:val="center"/>
            <w:hideMark/>
          </w:tcPr>
          <w:p w14:paraId="3E9F398B" w14:textId="77777777" w:rsidR="00F37E5D" w:rsidRPr="00456457" w:rsidRDefault="00F37E5D" w:rsidP="00146F7F">
            <w:pPr>
              <w:spacing w:after="0" w:line="240" w:lineRule="auto"/>
              <w:ind w:left="113" w:right="113"/>
              <w:rPr>
                <w:rFonts w:ascii="Calibri" w:eastAsia="Times New Roman" w:hAnsi="Calibri" w:cs="Calibri"/>
                <w:b/>
                <w:bCs/>
                <w:color w:val="000000"/>
              </w:rPr>
            </w:pPr>
            <w:proofErr w:type="spellStart"/>
            <w:r w:rsidRPr="00456457">
              <w:rPr>
                <w:rFonts w:ascii="Calibri" w:eastAsia="Times New Roman" w:hAnsi="Calibri" w:cs="Calibri"/>
                <w:b/>
                <w:bCs/>
                <w:color w:val="000000"/>
              </w:rPr>
              <w:t>Haemocompatibility</w:t>
            </w:r>
            <w:proofErr w:type="spellEnd"/>
          </w:p>
        </w:tc>
      </w:tr>
      <w:tr w:rsidR="00F37E5D" w:rsidRPr="00456457" w14:paraId="09BE2F00" w14:textId="77777777" w:rsidTr="008343B3">
        <w:trPr>
          <w:cantSplit/>
          <w:trHeight w:val="576"/>
          <w:jc w:val="center"/>
        </w:trPr>
        <w:tc>
          <w:tcPr>
            <w:tcW w:w="1413"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D2A4B0" w14:textId="33FA7395" w:rsidR="00F37E5D" w:rsidRPr="00456457" w:rsidRDefault="00F37E5D" w:rsidP="00456457">
            <w:pPr>
              <w:spacing w:after="0" w:line="240" w:lineRule="auto"/>
              <w:jc w:val="center"/>
              <w:rPr>
                <w:rFonts w:ascii="Calibri" w:eastAsia="Times New Roman" w:hAnsi="Calibri" w:cs="Calibri"/>
                <w:b/>
                <w:bCs/>
                <w:color w:val="000000"/>
              </w:rPr>
            </w:pPr>
            <w:r w:rsidRPr="00456457">
              <w:rPr>
                <w:rFonts w:ascii="Calibri" w:eastAsia="Times New Roman" w:hAnsi="Calibri" w:cs="Calibri"/>
                <w:b/>
                <w:bCs/>
                <w:color w:val="000000"/>
              </w:rPr>
              <w:t>Category</w:t>
            </w:r>
          </w:p>
        </w:tc>
        <w:tc>
          <w:tcPr>
            <w:tcW w:w="1281"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04D45F" w14:textId="06E8E1CF" w:rsidR="00F37E5D" w:rsidRPr="00456457" w:rsidRDefault="00F37E5D" w:rsidP="00456457">
            <w:pPr>
              <w:spacing w:after="0" w:line="240" w:lineRule="auto"/>
              <w:jc w:val="center"/>
              <w:rPr>
                <w:rFonts w:ascii="Calibri" w:eastAsia="Times New Roman" w:hAnsi="Calibri" w:cs="Calibri"/>
                <w:b/>
                <w:bCs/>
                <w:color w:val="000000"/>
              </w:rPr>
            </w:pPr>
            <w:r w:rsidRPr="00456457">
              <w:rPr>
                <w:rFonts w:ascii="Calibri" w:eastAsia="Times New Roman" w:hAnsi="Calibri" w:cs="Calibri"/>
                <w:b/>
                <w:bCs/>
                <w:color w:val="000000"/>
              </w:rPr>
              <w:t>Contact</w:t>
            </w:r>
          </w:p>
        </w:tc>
        <w:tc>
          <w:tcPr>
            <w:tcW w:w="864" w:type="dxa"/>
            <w:vMerge/>
            <w:tcBorders>
              <w:top w:val="single" w:sz="8" w:space="0" w:color="auto"/>
              <w:left w:val="single" w:sz="8" w:space="0" w:color="auto"/>
              <w:bottom w:val="single" w:sz="8" w:space="0" w:color="auto"/>
              <w:right w:val="single" w:sz="8" w:space="0" w:color="auto"/>
            </w:tcBorders>
            <w:shd w:val="clear" w:color="auto" w:fill="auto"/>
            <w:textDirection w:val="btLr"/>
            <w:vAlign w:val="center"/>
          </w:tcPr>
          <w:p w14:paraId="43541196" w14:textId="77777777" w:rsidR="00F37E5D" w:rsidRPr="00456457" w:rsidRDefault="00F37E5D" w:rsidP="00146F7F">
            <w:pPr>
              <w:spacing w:after="0" w:line="240" w:lineRule="auto"/>
              <w:ind w:left="113" w:right="113"/>
              <w:rPr>
                <w:rFonts w:ascii="Calibri" w:eastAsia="Times New Roman" w:hAnsi="Calibri" w:cs="Calibri"/>
                <w:b/>
                <w:bCs/>
                <w:color w:val="000000"/>
              </w:rPr>
            </w:pPr>
          </w:p>
        </w:tc>
        <w:tc>
          <w:tcPr>
            <w:tcW w:w="750" w:type="dxa"/>
            <w:vMerge/>
            <w:tcBorders>
              <w:left w:val="nil"/>
              <w:bottom w:val="single" w:sz="8" w:space="0" w:color="auto"/>
              <w:right w:val="single" w:sz="8" w:space="0" w:color="auto"/>
            </w:tcBorders>
            <w:shd w:val="clear" w:color="auto" w:fill="auto"/>
            <w:noWrap/>
            <w:textDirection w:val="btLr"/>
            <w:vAlign w:val="center"/>
          </w:tcPr>
          <w:p w14:paraId="0B336F80" w14:textId="77777777" w:rsidR="00F37E5D" w:rsidRPr="00456457" w:rsidRDefault="00F37E5D" w:rsidP="00146F7F">
            <w:pPr>
              <w:spacing w:after="0" w:line="240" w:lineRule="auto"/>
              <w:ind w:left="113" w:right="113"/>
              <w:rPr>
                <w:rFonts w:ascii="Calibri" w:eastAsia="Times New Roman" w:hAnsi="Calibri" w:cs="Calibri"/>
                <w:b/>
                <w:bCs/>
                <w:color w:val="000000"/>
              </w:rPr>
            </w:pPr>
          </w:p>
        </w:tc>
        <w:tc>
          <w:tcPr>
            <w:tcW w:w="750" w:type="dxa"/>
            <w:vMerge/>
            <w:tcBorders>
              <w:left w:val="nil"/>
              <w:bottom w:val="single" w:sz="8" w:space="0" w:color="auto"/>
              <w:right w:val="single" w:sz="8" w:space="0" w:color="auto"/>
            </w:tcBorders>
            <w:shd w:val="clear" w:color="auto" w:fill="auto"/>
            <w:noWrap/>
            <w:textDirection w:val="btLr"/>
            <w:vAlign w:val="center"/>
          </w:tcPr>
          <w:p w14:paraId="4F494A54" w14:textId="77777777" w:rsidR="00F37E5D" w:rsidRPr="00456457" w:rsidRDefault="00F37E5D" w:rsidP="00146F7F">
            <w:pPr>
              <w:spacing w:after="0" w:line="240" w:lineRule="auto"/>
              <w:ind w:left="113" w:right="113"/>
              <w:rPr>
                <w:rFonts w:ascii="Calibri" w:eastAsia="Times New Roman" w:hAnsi="Calibri" w:cs="Calibri"/>
                <w:b/>
                <w:bCs/>
                <w:color w:val="000000"/>
              </w:rPr>
            </w:pPr>
          </w:p>
        </w:tc>
        <w:tc>
          <w:tcPr>
            <w:tcW w:w="750" w:type="dxa"/>
            <w:vMerge/>
            <w:tcBorders>
              <w:left w:val="nil"/>
              <w:bottom w:val="single" w:sz="8" w:space="0" w:color="auto"/>
              <w:right w:val="single" w:sz="8" w:space="0" w:color="auto"/>
            </w:tcBorders>
            <w:shd w:val="clear" w:color="auto" w:fill="auto"/>
            <w:noWrap/>
            <w:textDirection w:val="btLr"/>
            <w:vAlign w:val="center"/>
          </w:tcPr>
          <w:p w14:paraId="49B567A2" w14:textId="77777777" w:rsidR="00F37E5D" w:rsidRPr="00456457" w:rsidRDefault="00F37E5D" w:rsidP="00146F7F">
            <w:pPr>
              <w:spacing w:after="0" w:line="240" w:lineRule="auto"/>
              <w:ind w:left="113" w:right="113"/>
              <w:rPr>
                <w:rFonts w:ascii="Calibri" w:eastAsia="Times New Roman" w:hAnsi="Calibri" w:cs="Calibri"/>
                <w:b/>
                <w:bCs/>
                <w:color w:val="000000"/>
              </w:rPr>
            </w:pPr>
          </w:p>
        </w:tc>
        <w:tc>
          <w:tcPr>
            <w:tcW w:w="750" w:type="dxa"/>
            <w:vMerge/>
            <w:tcBorders>
              <w:left w:val="nil"/>
              <w:bottom w:val="single" w:sz="8" w:space="0" w:color="auto"/>
              <w:right w:val="single" w:sz="8" w:space="0" w:color="auto"/>
            </w:tcBorders>
            <w:shd w:val="clear" w:color="auto" w:fill="auto"/>
            <w:noWrap/>
            <w:textDirection w:val="btLr"/>
            <w:vAlign w:val="center"/>
          </w:tcPr>
          <w:p w14:paraId="4F559A00" w14:textId="77777777" w:rsidR="00F37E5D" w:rsidRPr="00456457" w:rsidRDefault="00F37E5D" w:rsidP="00146F7F">
            <w:pPr>
              <w:spacing w:after="0" w:line="240" w:lineRule="auto"/>
              <w:ind w:left="113" w:right="113"/>
              <w:rPr>
                <w:rFonts w:ascii="Calibri" w:eastAsia="Times New Roman" w:hAnsi="Calibri" w:cs="Calibri"/>
                <w:b/>
                <w:bCs/>
                <w:color w:val="000000"/>
              </w:rPr>
            </w:pPr>
          </w:p>
        </w:tc>
        <w:tc>
          <w:tcPr>
            <w:tcW w:w="750" w:type="dxa"/>
            <w:vMerge/>
            <w:tcBorders>
              <w:left w:val="nil"/>
              <w:bottom w:val="single" w:sz="8" w:space="0" w:color="auto"/>
              <w:right w:val="single" w:sz="8" w:space="0" w:color="auto"/>
            </w:tcBorders>
            <w:shd w:val="clear" w:color="auto" w:fill="auto"/>
            <w:noWrap/>
            <w:textDirection w:val="btLr"/>
            <w:vAlign w:val="center"/>
          </w:tcPr>
          <w:p w14:paraId="2201DE46" w14:textId="77777777" w:rsidR="00F37E5D" w:rsidRPr="00456457" w:rsidRDefault="00F37E5D" w:rsidP="00146F7F">
            <w:pPr>
              <w:spacing w:after="0" w:line="240" w:lineRule="auto"/>
              <w:ind w:left="113" w:right="113"/>
              <w:rPr>
                <w:rFonts w:ascii="Calibri" w:eastAsia="Times New Roman" w:hAnsi="Calibri" w:cs="Calibri"/>
                <w:b/>
                <w:bCs/>
                <w:color w:val="000000"/>
              </w:rPr>
            </w:pPr>
          </w:p>
        </w:tc>
        <w:tc>
          <w:tcPr>
            <w:tcW w:w="750" w:type="dxa"/>
            <w:vMerge/>
            <w:tcBorders>
              <w:left w:val="nil"/>
              <w:bottom w:val="single" w:sz="8" w:space="0" w:color="auto"/>
              <w:right w:val="single" w:sz="8" w:space="0" w:color="auto"/>
            </w:tcBorders>
            <w:shd w:val="clear" w:color="auto" w:fill="auto"/>
            <w:noWrap/>
            <w:textDirection w:val="btLr"/>
            <w:vAlign w:val="center"/>
          </w:tcPr>
          <w:p w14:paraId="3CB8E8F7" w14:textId="77777777" w:rsidR="00F37E5D" w:rsidRPr="00456457" w:rsidRDefault="00F37E5D" w:rsidP="00146F7F">
            <w:pPr>
              <w:spacing w:after="0" w:line="240" w:lineRule="auto"/>
              <w:ind w:left="113" w:right="113"/>
              <w:rPr>
                <w:rFonts w:ascii="Calibri" w:eastAsia="Times New Roman" w:hAnsi="Calibri" w:cs="Calibri"/>
                <w:b/>
                <w:bCs/>
                <w:color w:val="000000"/>
              </w:rPr>
            </w:pPr>
          </w:p>
        </w:tc>
        <w:tc>
          <w:tcPr>
            <w:tcW w:w="750" w:type="dxa"/>
            <w:vMerge/>
            <w:tcBorders>
              <w:left w:val="nil"/>
              <w:bottom w:val="single" w:sz="8" w:space="0" w:color="auto"/>
              <w:right w:val="single" w:sz="8" w:space="0" w:color="auto"/>
            </w:tcBorders>
            <w:shd w:val="clear" w:color="auto" w:fill="auto"/>
            <w:noWrap/>
            <w:textDirection w:val="btLr"/>
            <w:vAlign w:val="center"/>
          </w:tcPr>
          <w:p w14:paraId="1CCE14CA" w14:textId="77777777" w:rsidR="00F37E5D" w:rsidRPr="00456457" w:rsidRDefault="00F37E5D" w:rsidP="00146F7F">
            <w:pPr>
              <w:spacing w:after="0" w:line="240" w:lineRule="auto"/>
              <w:ind w:left="113" w:right="113"/>
              <w:rPr>
                <w:rFonts w:ascii="Calibri" w:eastAsia="Times New Roman" w:hAnsi="Calibri" w:cs="Calibri"/>
                <w:b/>
                <w:bCs/>
                <w:color w:val="000000"/>
              </w:rPr>
            </w:pPr>
          </w:p>
        </w:tc>
        <w:tc>
          <w:tcPr>
            <w:tcW w:w="750" w:type="dxa"/>
            <w:vMerge/>
            <w:tcBorders>
              <w:left w:val="nil"/>
              <w:bottom w:val="single" w:sz="8" w:space="0" w:color="auto"/>
              <w:right w:val="single" w:sz="8" w:space="0" w:color="auto"/>
            </w:tcBorders>
            <w:shd w:val="clear" w:color="auto" w:fill="auto"/>
            <w:noWrap/>
            <w:textDirection w:val="btLr"/>
            <w:vAlign w:val="center"/>
          </w:tcPr>
          <w:p w14:paraId="290040AE" w14:textId="77777777" w:rsidR="00F37E5D" w:rsidRPr="00456457" w:rsidRDefault="00F37E5D" w:rsidP="00146F7F">
            <w:pPr>
              <w:spacing w:after="0" w:line="240" w:lineRule="auto"/>
              <w:ind w:left="113" w:right="113"/>
              <w:rPr>
                <w:rFonts w:ascii="Calibri" w:eastAsia="Times New Roman" w:hAnsi="Calibri" w:cs="Calibri"/>
                <w:b/>
                <w:bCs/>
                <w:color w:val="000000"/>
              </w:rPr>
            </w:pPr>
          </w:p>
        </w:tc>
      </w:tr>
      <w:tr w:rsidR="00456457" w:rsidRPr="00456457" w14:paraId="7A9F23F3" w14:textId="77777777" w:rsidTr="008343B3">
        <w:trPr>
          <w:trHeight w:val="285"/>
          <w:jc w:val="center"/>
        </w:trPr>
        <w:tc>
          <w:tcPr>
            <w:tcW w:w="1413" w:type="dxa"/>
            <w:vMerge w:val="restart"/>
            <w:tcBorders>
              <w:top w:val="single" w:sz="8" w:space="0" w:color="auto"/>
              <w:left w:val="single" w:sz="8" w:space="0" w:color="auto"/>
              <w:bottom w:val="single" w:sz="8" w:space="0" w:color="000000"/>
              <w:right w:val="nil"/>
            </w:tcBorders>
            <w:shd w:val="clear" w:color="auto" w:fill="auto"/>
            <w:vAlign w:val="center"/>
            <w:hideMark/>
          </w:tcPr>
          <w:p w14:paraId="35A46785" w14:textId="77777777" w:rsidR="00456457" w:rsidRPr="00456457" w:rsidRDefault="00456457" w:rsidP="00456457">
            <w:pPr>
              <w:spacing w:after="0" w:line="240" w:lineRule="auto"/>
              <w:jc w:val="center"/>
              <w:rPr>
                <w:rFonts w:ascii="Calibri" w:eastAsia="Times New Roman" w:hAnsi="Calibri" w:cs="Calibri"/>
                <w:color w:val="000000"/>
                <w:sz w:val="18"/>
                <w:szCs w:val="18"/>
              </w:rPr>
            </w:pPr>
            <w:r w:rsidRPr="00456457">
              <w:rPr>
                <w:rFonts w:ascii="Calibri" w:eastAsia="Times New Roman" w:hAnsi="Calibri" w:cs="Calibri"/>
                <w:color w:val="000000"/>
                <w:sz w:val="18"/>
                <w:szCs w:val="18"/>
              </w:rPr>
              <w:t>Surface device</w:t>
            </w:r>
          </w:p>
        </w:tc>
        <w:tc>
          <w:tcPr>
            <w:tcW w:w="128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F2419AD" w14:textId="77777777" w:rsidR="00456457" w:rsidRPr="00456457" w:rsidRDefault="00456457" w:rsidP="00456457">
            <w:pPr>
              <w:spacing w:after="0" w:line="240" w:lineRule="auto"/>
              <w:jc w:val="center"/>
              <w:rPr>
                <w:rFonts w:ascii="Calibri" w:eastAsia="Times New Roman" w:hAnsi="Calibri" w:cs="Calibri"/>
                <w:color w:val="000000"/>
                <w:sz w:val="18"/>
                <w:szCs w:val="18"/>
              </w:rPr>
            </w:pPr>
            <w:r w:rsidRPr="00456457">
              <w:rPr>
                <w:rFonts w:ascii="Calibri" w:eastAsia="Times New Roman" w:hAnsi="Calibri" w:cs="Calibri"/>
                <w:color w:val="000000"/>
                <w:sz w:val="18"/>
                <w:szCs w:val="18"/>
              </w:rPr>
              <w:t>Skin</w:t>
            </w:r>
          </w:p>
        </w:tc>
        <w:tc>
          <w:tcPr>
            <w:tcW w:w="864" w:type="dxa"/>
            <w:tcBorders>
              <w:top w:val="nil"/>
              <w:left w:val="nil"/>
              <w:bottom w:val="single" w:sz="4" w:space="0" w:color="auto"/>
              <w:right w:val="nil"/>
            </w:tcBorders>
            <w:shd w:val="clear" w:color="auto" w:fill="auto"/>
            <w:noWrap/>
            <w:vAlign w:val="center"/>
            <w:hideMark/>
          </w:tcPr>
          <w:p w14:paraId="26FA032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A</w:t>
            </w:r>
          </w:p>
        </w:tc>
        <w:tc>
          <w:tcPr>
            <w:tcW w:w="750" w:type="dxa"/>
            <w:tcBorders>
              <w:top w:val="nil"/>
              <w:left w:val="single" w:sz="8" w:space="0" w:color="auto"/>
              <w:bottom w:val="single" w:sz="4" w:space="0" w:color="auto"/>
              <w:right w:val="single" w:sz="4" w:space="0" w:color="auto"/>
            </w:tcBorders>
            <w:shd w:val="clear" w:color="000000" w:fill="7197C7"/>
            <w:noWrap/>
            <w:vAlign w:val="center"/>
            <w:hideMark/>
          </w:tcPr>
          <w:p w14:paraId="60589C9A"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427CB62F"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4565F4A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73687540"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09670161"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4FAC93B8"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2AABDD80"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8" w:space="0" w:color="auto"/>
            </w:tcBorders>
            <w:shd w:val="clear" w:color="auto" w:fill="auto"/>
            <w:noWrap/>
            <w:vAlign w:val="center"/>
            <w:hideMark/>
          </w:tcPr>
          <w:p w14:paraId="1E5D414F"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57E5F487" w14:textId="77777777" w:rsidTr="008343B3">
        <w:trPr>
          <w:trHeight w:val="285"/>
          <w:jc w:val="center"/>
        </w:trPr>
        <w:tc>
          <w:tcPr>
            <w:tcW w:w="1413" w:type="dxa"/>
            <w:vMerge/>
            <w:tcBorders>
              <w:top w:val="single" w:sz="8" w:space="0" w:color="auto"/>
              <w:left w:val="single" w:sz="8" w:space="0" w:color="auto"/>
              <w:bottom w:val="single" w:sz="8" w:space="0" w:color="000000"/>
              <w:right w:val="nil"/>
            </w:tcBorders>
            <w:vAlign w:val="center"/>
            <w:hideMark/>
          </w:tcPr>
          <w:p w14:paraId="46332095"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1281" w:type="dxa"/>
            <w:vMerge/>
            <w:tcBorders>
              <w:top w:val="single" w:sz="8" w:space="0" w:color="auto"/>
              <w:left w:val="single" w:sz="8" w:space="0" w:color="auto"/>
              <w:bottom w:val="single" w:sz="8" w:space="0" w:color="000000"/>
              <w:right w:val="single" w:sz="8" w:space="0" w:color="auto"/>
            </w:tcBorders>
            <w:vAlign w:val="center"/>
            <w:hideMark/>
          </w:tcPr>
          <w:p w14:paraId="3275BEFC"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864" w:type="dxa"/>
            <w:tcBorders>
              <w:top w:val="nil"/>
              <w:left w:val="nil"/>
              <w:bottom w:val="single" w:sz="4" w:space="0" w:color="auto"/>
              <w:right w:val="nil"/>
            </w:tcBorders>
            <w:shd w:val="clear" w:color="auto" w:fill="auto"/>
            <w:noWrap/>
            <w:vAlign w:val="center"/>
            <w:hideMark/>
          </w:tcPr>
          <w:p w14:paraId="6A2C8EA1"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B</w:t>
            </w:r>
          </w:p>
        </w:tc>
        <w:tc>
          <w:tcPr>
            <w:tcW w:w="750" w:type="dxa"/>
            <w:tcBorders>
              <w:top w:val="nil"/>
              <w:left w:val="single" w:sz="8" w:space="0" w:color="auto"/>
              <w:bottom w:val="single" w:sz="4" w:space="0" w:color="auto"/>
              <w:right w:val="single" w:sz="4" w:space="0" w:color="auto"/>
            </w:tcBorders>
            <w:shd w:val="clear" w:color="000000" w:fill="7197C7"/>
            <w:noWrap/>
            <w:vAlign w:val="center"/>
            <w:hideMark/>
          </w:tcPr>
          <w:p w14:paraId="4A68A276"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2B2D58E4"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05B7FC5F"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7E597E4F"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4A4F869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67EA8234"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2A91E5B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8" w:space="0" w:color="auto"/>
            </w:tcBorders>
            <w:shd w:val="clear" w:color="auto" w:fill="auto"/>
            <w:noWrap/>
            <w:vAlign w:val="center"/>
            <w:hideMark/>
          </w:tcPr>
          <w:p w14:paraId="3A25D194"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7B257420" w14:textId="77777777" w:rsidTr="008343B3">
        <w:trPr>
          <w:trHeight w:val="293"/>
          <w:jc w:val="center"/>
        </w:trPr>
        <w:tc>
          <w:tcPr>
            <w:tcW w:w="1413" w:type="dxa"/>
            <w:vMerge/>
            <w:tcBorders>
              <w:top w:val="single" w:sz="8" w:space="0" w:color="auto"/>
              <w:left w:val="single" w:sz="8" w:space="0" w:color="auto"/>
              <w:bottom w:val="single" w:sz="8" w:space="0" w:color="000000"/>
              <w:right w:val="nil"/>
            </w:tcBorders>
            <w:vAlign w:val="center"/>
            <w:hideMark/>
          </w:tcPr>
          <w:p w14:paraId="2BE2D01C"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1281" w:type="dxa"/>
            <w:vMerge/>
            <w:tcBorders>
              <w:top w:val="single" w:sz="8" w:space="0" w:color="auto"/>
              <w:left w:val="single" w:sz="8" w:space="0" w:color="auto"/>
              <w:bottom w:val="single" w:sz="8" w:space="0" w:color="000000"/>
              <w:right w:val="single" w:sz="8" w:space="0" w:color="auto"/>
            </w:tcBorders>
            <w:vAlign w:val="center"/>
            <w:hideMark/>
          </w:tcPr>
          <w:p w14:paraId="37569FAF"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864" w:type="dxa"/>
            <w:tcBorders>
              <w:top w:val="nil"/>
              <w:left w:val="nil"/>
              <w:bottom w:val="single" w:sz="8" w:space="0" w:color="auto"/>
              <w:right w:val="nil"/>
            </w:tcBorders>
            <w:shd w:val="clear" w:color="auto" w:fill="auto"/>
            <w:noWrap/>
            <w:vAlign w:val="center"/>
            <w:hideMark/>
          </w:tcPr>
          <w:p w14:paraId="1138CA6E"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C</w:t>
            </w:r>
          </w:p>
        </w:tc>
        <w:tc>
          <w:tcPr>
            <w:tcW w:w="750" w:type="dxa"/>
            <w:tcBorders>
              <w:top w:val="nil"/>
              <w:left w:val="single" w:sz="8" w:space="0" w:color="auto"/>
              <w:bottom w:val="single" w:sz="8" w:space="0" w:color="auto"/>
              <w:right w:val="single" w:sz="4" w:space="0" w:color="auto"/>
            </w:tcBorders>
            <w:shd w:val="clear" w:color="000000" w:fill="7197C7"/>
            <w:noWrap/>
            <w:vAlign w:val="center"/>
            <w:hideMark/>
          </w:tcPr>
          <w:p w14:paraId="4ABA86DF"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70D4F997"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35781B3B"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auto" w:fill="auto"/>
            <w:noWrap/>
            <w:vAlign w:val="center"/>
            <w:hideMark/>
          </w:tcPr>
          <w:p w14:paraId="5BB96632"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auto" w:fill="auto"/>
            <w:noWrap/>
            <w:vAlign w:val="center"/>
            <w:hideMark/>
          </w:tcPr>
          <w:p w14:paraId="72927C1B"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auto" w:fill="auto"/>
            <w:noWrap/>
            <w:vAlign w:val="center"/>
            <w:hideMark/>
          </w:tcPr>
          <w:p w14:paraId="78AFFFE2"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auto" w:fill="auto"/>
            <w:noWrap/>
            <w:vAlign w:val="center"/>
            <w:hideMark/>
          </w:tcPr>
          <w:p w14:paraId="12F8667C"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8" w:space="0" w:color="auto"/>
            </w:tcBorders>
            <w:shd w:val="clear" w:color="auto" w:fill="auto"/>
            <w:noWrap/>
            <w:vAlign w:val="center"/>
            <w:hideMark/>
          </w:tcPr>
          <w:p w14:paraId="5E804D61"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08415CD4" w14:textId="77777777" w:rsidTr="008343B3">
        <w:trPr>
          <w:trHeight w:val="285"/>
          <w:jc w:val="center"/>
        </w:trPr>
        <w:tc>
          <w:tcPr>
            <w:tcW w:w="1413" w:type="dxa"/>
            <w:vMerge/>
            <w:tcBorders>
              <w:top w:val="single" w:sz="8" w:space="0" w:color="auto"/>
              <w:left w:val="single" w:sz="8" w:space="0" w:color="auto"/>
              <w:bottom w:val="single" w:sz="8" w:space="0" w:color="000000"/>
              <w:right w:val="nil"/>
            </w:tcBorders>
            <w:vAlign w:val="center"/>
            <w:hideMark/>
          </w:tcPr>
          <w:p w14:paraId="66E4F36C"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1281" w:type="dxa"/>
            <w:vMerge w:val="restart"/>
            <w:tcBorders>
              <w:top w:val="nil"/>
              <w:left w:val="single" w:sz="8" w:space="0" w:color="auto"/>
              <w:bottom w:val="single" w:sz="8" w:space="0" w:color="000000"/>
              <w:right w:val="single" w:sz="8" w:space="0" w:color="auto"/>
            </w:tcBorders>
            <w:shd w:val="clear" w:color="auto" w:fill="auto"/>
            <w:vAlign w:val="center"/>
            <w:hideMark/>
          </w:tcPr>
          <w:p w14:paraId="785B638D" w14:textId="77777777" w:rsidR="00456457" w:rsidRPr="00456457" w:rsidRDefault="00456457" w:rsidP="00456457">
            <w:pPr>
              <w:spacing w:after="0" w:line="240" w:lineRule="auto"/>
              <w:jc w:val="center"/>
              <w:rPr>
                <w:rFonts w:ascii="Calibri" w:eastAsia="Times New Roman" w:hAnsi="Calibri" w:cs="Calibri"/>
                <w:color w:val="000000"/>
                <w:sz w:val="18"/>
                <w:szCs w:val="18"/>
              </w:rPr>
            </w:pPr>
            <w:r w:rsidRPr="00456457">
              <w:rPr>
                <w:rFonts w:ascii="Calibri" w:eastAsia="Times New Roman" w:hAnsi="Calibri" w:cs="Calibri"/>
                <w:color w:val="000000"/>
                <w:sz w:val="18"/>
                <w:szCs w:val="18"/>
              </w:rPr>
              <w:t>Mucosal membrane</w:t>
            </w:r>
          </w:p>
        </w:tc>
        <w:tc>
          <w:tcPr>
            <w:tcW w:w="864" w:type="dxa"/>
            <w:tcBorders>
              <w:top w:val="nil"/>
              <w:left w:val="nil"/>
              <w:bottom w:val="single" w:sz="4" w:space="0" w:color="auto"/>
              <w:right w:val="nil"/>
            </w:tcBorders>
            <w:shd w:val="clear" w:color="auto" w:fill="auto"/>
            <w:noWrap/>
            <w:vAlign w:val="center"/>
            <w:hideMark/>
          </w:tcPr>
          <w:p w14:paraId="650718F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A</w:t>
            </w:r>
          </w:p>
        </w:tc>
        <w:tc>
          <w:tcPr>
            <w:tcW w:w="750" w:type="dxa"/>
            <w:tcBorders>
              <w:top w:val="nil"/>
              <w:left w:val="single" w:sz="8" w:space="0" w:color="auto"/>
              <w:bottom w:val="single" w:sz="4" w:space="0" w:color="auto"/>
              <w:right w:val="single" w:sz="4" w:space="0" w:color="auto"/>
            </w:tcBorders>
            <w:shd w:val="clear" w:color="000000" w:fill="7197C7"/>
            <w:noWrap/>
            <w:vAlign w:val="center"/>
            <w:hideMark/>
          </w:tcPr>
          <w:p w14:paraId="5C54FE8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43B4D86F"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0BDFE2EF"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27119EA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6A0120FF"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485BC1C9"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03260C1F"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8" w:space="0" w:color="auto"/>
            </w:tcBorders>
            <w:shd w:val="clear" w:color="auto" w:fill="auto"/>
            <w:noWrap/>
            <w:vAlign w:val="center"/>
            <w:hideMark/>
          </w:tcPr>
          <w:p w14:paraId="65ABBB67"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1E89D8BA" w14:textId="77777777" w:rsidTr="008343B3">
        <w:trPr>
          <w:trHeight w:val="285"/>
          <w:jc w:val="center"/>
        </w:trPr>
        <w:tc>
          <w:tcPr>
            <w:tcW w:w="1413" w:type="dxa"/>
            <w:vMerge/>
            <w:tcBorders>
              <w:top w:val="single" w:sz="8" w:space="0" w:color="auto"/>
              <w:left w:val="single" w:sz="8" w:space="0" w:color="auto"/>
              <w:bottom w:val="single" w:sz="8" w:space="0" w:color="000000"/>
              <w:right w:val="nil"/>
            </w:tcBorders>
            <w:vAlign w:val="center"/>
            <w:hideMark/>
          </w:tcPr>
          <w:p w14:paraId="4E92E58A"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1281" w:type="dxa"/>
            <w:vMerge/>
            <w:tcBorders>
              <w:top w:val="nil"/>
              <w:left w:val="single" w:sz="8" w:space="0" w:color="auto"/>
              <w:bottom w:val="single" w:sz="8" w:space="0" w:color="000000"/>
              <w:right w:val="single" w:sz="8" w:space="0" w:color="auto"/>
            </w:tcBorders>
            <w:vAlign w:val="center"/>
            <w:hideMark/>
          </w:tcPr>
          <w:p w14:paraId="747CC5A2"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864" w:type="dxa"/>
            <w:tcBorders>
              <w:top w:val="nil"/>
              <w:left w:val="nil"/>
              <w:bottom w:val="single" w:sz="4" w:space="0" w:color="auto"/>
              <w:right w:val="nil"/>
            </w:tcBorders>
            <w:shd w:val="clear" w:color="auto" w:fill="auto"/>
            <w:noWrap/>
            <w:vAlign w:val="center"/>
            <w:hideMark/>
          </w:tcPr>
          <w:p w14:paraId="71B6C44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B</w:t>
            </w:r>
          </w:p>
        </w:tc>
        <w:tc>
          <w:tcPr>
            <w:tcW w:w="750" w:type="dxa"/>
            <w:tcBorders>
              <w:top w:val="nil"/>
              <w:left w:val="single" w:sz="8" w:space="0" w:color="auto"/>
              <w:bottom w:val="single" w:sz="4" w:space="0" w:color="auto"/>
              <w:right w:val="single" w:sz="4" w:space="0" w:color="auto"/>
            </w:tcBorders>
            <w:shd w:val="clear" w:color="000000" w:fill="7197C7"/>
            <w:noWrap/>
            <w:vAlign w:val="center"/>
            <w:hideMark/>
          </w:tcPr>
          <w:p w14:paraId="0B9484FA"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5BBE32A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2AAAF81B"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7BFCF4CE"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32486A3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1F20731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3AECE7EB"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8" w:space="0" w:color="auto"/>
            </w:tcBorders>
            <w:shd w:val="clear" w:color="auto" w:fill="auto"/>
            <w:noWrap/>
            <w:vAlign w:val="center"/>
            <w:hideMark/>
          </w:tcPr>
          <w:p w14:paraId="2D89E7AE"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3B9EE997" w14:textId="77777777" w:rsidTr="008343B3">
        <w:trPr>
          <w:trHeight w:val="293"/>
          <w:jc w:val="center"/>
        </w:trPr>
        <w:tc>
          <w:tcPr>
            <w:tcW w:w="1413" w:type="dxa"/>
            <w:vMerge/>
            <w:tcBorders>
              <w:top w:val="single" w:sz="8" w:space="0" w:color="auto"/>
              <w:left w:val="single" w:sz="8" w:space="0" w:color="auto"/>
              <w:bottom w:val="single" w:sz="8" w:space="0" w:color="000000"/>
              <w:right w:val="nil"/>
            </w:tcBorders>
            <w:vAlign w:val="center"/>
            <w:hideMark/>
          </w:tcPr>
          <w:p w14:paraId="294C1B3B"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1281" w:type="dxa"/>
            <w:vMerge/>
            <w:tcBorders>
              <w:top w:val="nil"/>
              <w:left w:val="single" w:sz="8" w:space="0" w:color="auto"/>
              <w:bottom w:val="single" w:sz="8" w:space="0" w:color="000000"/>
              <w:right w:val="single" w:sz="8" w:space="0" w:color="auto"/>
            </w:tcBorders>
            <w:vAlign w:val="center"/>
            <w:hideMark/>
          </w:tcPr>
          <w:p w14:paraId="67BD8118"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864" w:type="dxa"/>
            <w:tcBorders>
              <w:top w:val="nil"/>
              <w:left w:val="nil"/>
              <w:bottom w:val="single" w:sz="8" w:space="0" w:color="auto"/>
              <w:right w:val="nil"/>
            </w:tcBorders>
            <w:shd w:val="clear" w:color="auto" w:fill="auto"/>
            <w:noWrap/>
            <w:vAlign w:val="center"/>
            <w:hideMark/>
          </w:tcPr>
          <w:p w14:paraId="6C0E6DA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C</w:t>
            </w:r>
          </w:p>
        </w:tc>
        <w:tc>
          <w:tcPr>
            <w:tcW w:w="750" w:type="dxa"/>
            <w:tcBorders>
              <w:top w:val="nil"/>
              <w:left w:val="single" w:sz="8" w:space="0" w:color="auto"/>
              <w:bottom w:val="single" w:sz="8" w:space="0" w:color="auto"/>
              <w:right w:val="single" w:sz="4" w:space="0" w:color="auto"/>
            </w:tcBorders>
            <w:shd w:val="clear" w:color="000000" w:fill="7197C7"/>
            <w:noWrap/>
            <w:vAlign w:val="center"/>
            <w:hideMark/>
          </w:tcPr>
          <w:p w14:paraId="00927EA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0F10DF3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154F72E9"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auto" w:fill="auto"/>
            <w:noWrap/>
            <w:vAlign w:val="center"/>
            <w:hideMark/>
          </w:tcPr>
          <w:p w14:paraId="23F80949"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auto" w:fill="auto"/>
            <w:noWrap/>
            <w:vAlign w:val="center"/>
            <w:hideMark/>
          </w:tcPr>
          <w:p w14:paraId="7D88ECE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auto" w:fill="auto"/>
            <w:noWrap/>
            <w:vAlign w:val="center"/>
            <w:hideMark/>
          </w:tcPr>
          <w:p w14:paraId="08F63986"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auto" w:fill="auto"/>
            <w:noWrap/>
            <w:vAlign w:val="center"/>
            <w:hideMark/>
          </w:tcPr>
          <w:p w14:paraId="6909777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8" w:space="0" w:color="auto"/>
            </w:tcBorders>
            <w:shd w:val="clear" w:color="auto" w:fill="auto"/>
            <w:noWrap/>
            <w:vAlign w:val="center"/>
            <w:hideMark/>
          </w:tcPr>
          <w:p w14:paraId="2B38C309"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0C7E6FC9" w14:textId="77777777" w:rsidTr="008343B3">
        <w:trPr>
          <w:trHeight w:val="285"/>
          <w:jc w:val="center"/>
        </w:trPr>
        <w:tc>
          <w:tcPr>
            <w:tcW w:w="1413" w:type="dxa"/>
            <w:vMerge/>
            <w:tcBorders>
              <w:top w:val="single" w:sz="8" w:space="0" w:color="auto"/>
              <w:left w:val="single" w:sz="8" w:space="0" w:color="auto"/>
              <w:bottom w:val="single" w:sz="8" w:space="0" w:color="000000"/>
              <w:right w:val="nil"/>
            </w:tcBorders>
            <w:vAlign w:val="center"/>
            <w:hideMark/>
          </w:tcPr>
          <w:p w14:paraId="5A741DF8"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1281" w:type="dxa"/>
            <w:vMerge w:val="restart"/>
            <w:tcBorders>
              <w:top w:val="nil"/>
              <w:left w:val="single" w:sz="8" w:space="0" w:color="auto"/>
              <w:bottom w:val="single" w:sz="8" w:space="0" w:color="000000"/>
              <w:right w:val="single" w:sz="8" w:space="0" w:color="auto"/>
            </w:tcBorders>
            <w:shd w:val="clear" w:color="auto" w:fill="auto"/>
            <w:vAlign w:val="center"/>
            <w:hideMark/>
          </w:tcPr>
          <w:p w14:paraId="33AEA450" w14:textId="77777777" w:rsidR="00456457" w:rsidRPr="00456457" w:rsidRDefault="00456457" w:rsidP="00456457">
            <w:pPr>
              <w:spacing w:after="0" w:line="240" w:lineRule="auto"/>
              <w:jc w:val="center"/>
              <w:rPr>
                <w:rFonts w:ascii="Calibri" w:eastAsia="Times New Roman" w:hAnsi="Calibri" w:cs="Calibri"/>
                <w:color w:val="000000"/>
                <w:sz w:val="18"/>
                <w:szCs w:val="18"/>
              </w:rPr>
            </w:pPr>
            <w:r w:rsidRPr="00456457">
              <w:rPr>
                <w:rFonts w:ascii="Calibri" w:eastAsia="Times New Roman" w:hAnsi="Calibri" w:cs="Calibri"/>
                <w:color w:val="000000"/>
                <w:sz w:val="18"/>
                <w:szCs w:val="18"/>
              </w:rPr>
              <w:t>Breached or compromised surface</w:t>
            </w:r>
          </w:p>
        </w:tc>
        <w:tc>
          <w:tcPr>
            <w:tcW w:w="864" w:type="dxa"/>
            <w:tcBorders>
              <w:top w:val="nil"/>
              <w:left w:val="nil"/>
              <w:bottom w:val="single" w:sz="4" w:space="0" w:color="auto"/>
              <w:right w:val="nil"/>
            </w:tcBorders>
            <w:shd w:val="clear" w:color="auto" w:fill="auto"/>
            <w:noWrap/>
            <w:vAlign w:val="center"/>
            <w:hideMark/>
          </w:tcPr>
          <w:p w14:paraId="4DE2562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A</w:t>
            </w:r>
          </w:p>
        </w:tc>
        <w:tc>
          <w:tcPr>
            <w:tcW w:w="750" w:type="dxa"/>
            <w:tcBorders>
              <w:top w:val="nil"/>
              <w:left w:val="single" w:sz="8" w:space="0" w:color="auto"/>
              <w:bottom w:val="single" w:sz="4" w:space="0" w:color="auto"/>
              <w:right w:val="single" w:sz="4" w:space="0" w:color="auto"/>
            </w:tcBorders>
            <w:shd w:val="clear" w:color="000000" w:fill="7197C7"/>
            <w:noWrap/>
            <w:vAlign w:val="center"/>
            <w:hideMark/>
          </w:tcPr>
          <w:p w14:paraId="7F0FB569"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18AF7389"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1DF001F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1B877D14"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37D62BC7"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2E5A3E0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570A1FA8"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8" w:space="0" w:color="auto"/>
            </w:tcBorders>
            <w:shd w:val="clear" w:color="auto" w:fill="auto"/>
            <w:noWrap/>
            <w:vAlign w:val="center"/>
            <w:hideMark/>
          </w:tcPr>
          <w:p w14:paraId="3A6D41B4"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6D56BF87" w14:textId="77777777" w:rsidTr="008343B3">
        <w:trPr>
          <w:trHeight w:val="285"/>
          <w:jc w:val="center"/>
        </w:trPr>
        <w:tc>
          <w:tcPr>
            <w:tcW w:w="1413" w:type="dxa"/>
            <w:vMerge/>
            <w:tcBorders>
              <w:top w:val="single" w:sz="8" w:space="0" w:color="auto"/>
              <w:left w:val="single" w:sz="8" w:space="0" w:color="auto"/>
              <w:bottom w:val="single" w:sz="8" w:space="0" w:color="000000"/>
              <w:right w:val="nil"/>
            </w:tcBorders>
            <w:vAlign w:val="center"/>
            <w:hideMark/>
          </w:tcPr>
          <w:p w14:paraId="699319E1"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1281" w:type="dxa"/>
            <w:vMerge/>
            <w:tcBorders>
              <w:top w:val="nil"/>
              <w:left w:val="single" w:sz="8" w:space="0" w:color="auto"/>
              <w:bottom w:val="single" w:sz="8" w:space="0" w:color="000000"/>
              <w:right w:val="single" w:sz="8" w:space="0" w:color="auto"/>
            </w:tcBorders>
            <w:vAlign w:val="center"/>
            <w:hideMark/>
          </w:tcPr>
          <w:p w14:paraId="4B54BEDB"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864" w:type="dxa"/>
            <w:tcBorders>
              <w:top w:val="nil"/>
              <w:left w:val="nil"/>
              <w:bottom w:val="single" w:sz="4" w:space="0" w:color="auto"/>
              <w:right w:val="nil"/>
            </w:tcBorders>
            <w:shd w:val="clear" w:color="auto" w:fill="auto"/>
            <w:noWrap/>
            <w:vAlign w:val="center"/>
            <w:hideMark/>
          </w:tcPr>
          <w:p w14:paraId="0D2AA38A"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B</w:t>
            </w:r>
          </w:p>
        </w:tc>
        <w:tc>
          <w:tcPr>
            <w:tcW w:w="750" w:type="dxa"/>
            <w:tcBorders>
              <w:top w:val="nil"/>
              <w:left w:val="single" w:sz="8" w:space="0" w:color="auto"/>
              <w:bottom w:val="single" w:sz="4" w:space="0" w:color="auto"/>
              <w:right w:val="single" w:sz="4" w:space="0" w:color="auto"/>
            </w:tcBorders>
            <w:shd w:val="clear" w:color="000000" w:fill="7197C7"/>
            <w:noWrap/>
            <w:vAlign w:val="center"/>
            <w:hideMark/>
          </w:tcPr>
          <w:p w14:paraId="37D09FA7"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59899E30"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0F866D1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331389B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0F96BEBF"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25205EA2"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65DB3DFF"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8" w:space="0" w:color="auto"/>
            </w:tcBorders>
            <w:shd w:val="clear" w:color="auto" w:fill="auto"/>
            <w:noWrap/>
            <w:vAlign w:val="center"/>
            <w:hideMark/>
          </w:tcPr>
          <w:p w14:paraId="26E654FA"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49308871" w14:textId="77777777" w:rsidTr="008343B3">
        <w:trPr>
          <w:trHeight w:val="293"/>
          <w:jc w:val="center"/>
        </w:trPr>
        <w:tc>
          <w:tcPr>
            <w:tcW w:w="1413" w:type="dxa"/>
            <w:vMerge/>
            <w:tcBorders>
              <w:top w:val="single" w:sz="8" w:space="0" w:color="auto"/>
              <w:left w:val="single" w:sz="8" w:space="0" w:color="auto"/>
              <w:bottom w:val="single" w:sz="8" w:space="0" w:color="000000"/>
              <w:right w:val="nil"/>
            </w:tcBorders>
            <w:vAlign w:val="center"/>
            <w:hideMark/>
          </w:tcPr>
          <w:p w14:paraId="33FE8D8A"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1281" w:type="dxa"/>
            <w:vMerge/>
            <w:tcBorders>
              <w:top w:val="nil"/>
              <w:left w:val="single" w:sz="8" w:space="0" w:color="auto"/>
              <w:bottom w:val="single" w:sz="8" w:space="0" w:color="000000"/>
              <w:right w:val="single" w:sz="8" w:space="0" w:color="auto"/>
            </w:tcBorders>
            <w:vAlign w:val="center"/>
            <w:hideMark/>
          </w:tcPr>
          <w:p w14:paraId="4788A566"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864" w:type="dxa"/>
            <w:tcBorders>
              <w:top w:val="nil"/>
              <w:left w:val="nil"/>
              <w:bottom w:val="single" w:sz="8" w:space="0" w:color="auto"/>
              <w:right w:val="nil"/>
            </w:tcBorders>
            <w:shd w:val="clear" w:color="auto" w:fill="auto"/>
            <w:noWrap/>
            <w:vAlign w:val="center"/>
            <w:hideMark/>
          </w:tcPr>
          <w:p w14:paraId="603E11B8"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C</w:t>
            </w:r>
          </w:p>
        </w:tc>
        <w:tc>
          <w:tcPr>
            <w:tcW w:w="750" w:type="dxa"/>
            <w:tcBorders>
              <w:top w:val="nil"/>
              <w:left w:val="single" w:sz="8" w:space="0" w:color="auto"/>
              <w:bottom w:val="single" w:sz="8" w:space="0" w:color="auto"/>
              <w:right w:val="single" w:sz="4" w:space="0" w:color="auto"/>
            </w:tcBorders>
            <w:shd w:val="clear" w:color="000000" w:fill="7197C7"/>
            <w:noWrap/>
            <w:vAlign w:val="center"/>
            <w:hideMark/>
          </w:tcPr>
          <w:p w14:paraId="483AAD9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0E233DD9"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79087130"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53EB49F4"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auto" w:fill="auto"/>
            <w:noWrap/>
            <w:vAlign w:val="center"/>
            <w:hideMark/>
          </w:tcPr>
          <w:p w14:paraId="0480F7E0"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auto" w:fill="auto"/>
            <w:noWrap/>
            <w:vAlign w:val="center"/>
            <w:hideMark/>
          </w:tcPr>
          <w:p w14:paraId="62B204DF"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auto" w:fill="auto"/>
            <w:noWrap/>
            <w:vAlign w:val="center"/>
            <w:hideMark/>
          </w:tcPr>
          <w:p w14:paraId="6271B73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8" w:space="0" w:color="auto"/>
            </w:tcBorders>
            <w:shd w:val="clear" w:color="auto" w:fill="auto"/>
            <w:noWrap/>
            <w:vAlign w:val="center"/>
            <w:hideMark/>
          </w:tcPr>
          <w:p w14:paraId="3F8E17B6"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78F1A589" w14:textId="77777777" w:rsidTr="008343B3">
        <w:trPr>
          <w:trHeight w:val="285"/>
          <w:jc w:val="center"/>
        </w:trPr>
        <w:tc>
          <w:tcPr>
            <w:tcW w:w="1413" w:type="dxa"/>
            <w:vMerge w:val="restart"/>
            <w:tcBorders>
              <w:top w:val="nil"/>
              <w:left w:val="single" w:sz="8" w:space="0" w:color="auto"/>
              <w:bottom w:val="single" w:sz="8" w:space="0" w:color="000000"/>
              <w:right w:val="nil"/>
            </w:tcBorders>
            <w:shd w:val="clear" w:color="auto" w:fill="auto"/>
            <w:vAlign w:val="center"/>
            <w:hideMark/>
          </w:tcPr>
          <w:p w14:paraId="65EF4365" w14:textId="77777777" w:rsidR="00456457" w:rsidRPr="00456457" w:rsidRDefault="00456457" w:rsidP="00456457">
            <w:pPr>
              <w:spacing w:after="0" w:line="240" w:lineRule="auto"/>
              <w:jc w:val="center"/>
              <w:rPr>
                <w:rFonts w:ascii="Calibri" w:eastAsia="Times New Roman" w:hAnsi="Calibri" w:cs="Calibri"/>
                <w:color w:val="000000"/>
                <w:sz w:val="18"/>
                <w:szCs w:val="18"/>
              </w:rPr>
            </w:pPr>
            <w:r w:rsidRPr="00456457">
              <w:rPr>
                <w:rFonts w:ascii="Calibri" w:eastAsia="Times New Roman" w:hAnsi="Calibri" w:cs="Calibri"/>
                <w:color w:val="000000"/>
                <w:sz w:val="18"/>
                <w:szCs w:val="18"/>
              </w:rPr>
              <w:t>External communicating device</w:t>
            </w:r>
          </w:p>
        </w:tc>
        <w:tc>
          <w:tcPr>
            <w:tcW w:w="1281" w:type="dxa"/>
            <w:vMerge w:val="restart"/>
            <w:tcBorders>
              <w:top w:val="nil"/>
              <w:left w:val="single" w:sz="8" w:space="0" w:color="auto"/>
              <w:bottom w:val="single" w:sz="4" w:space="0" w:color="auto"/>
              <w:right w:val="single" w:sz="8" w:space="0" w:color="auto"/>
            </w:tcBorders>
            <w:shd w:val="clear" w:color="auto" w:fill="auto"/>
            <w:vAlign w:val="center"/>
            <w:hideMark/>
          </w:tcPr>
          <w:p w14:paraId="26F96C8F" w14:textId="77777777" w:rsidR="00456457" w:rsidRPr="00456457" w:rsidRDefault="00456457" w:rsidP="00456457">
            <w:pPr>
              <w:spacing w:after="0" w:line="240" w:lineRule="auto"/>
              <w:jc w:val="center"/>
              <w:rPr>
                <w:rFonts w:ascii="Calibri" w:eastAsia="Times New Roman" w:hAnsi="Calibri" w:cs="Calibri"/>
                <w:color w:val="000000"/>
                <w:sz w:val="18"/>
                <w:szCs w:val="18"/>
              </w:rPr>
            </w:pPr>
            <w:r w:rsidRPr="00456457">
              <w:rPr>
                <w:rFonts w:ascii="Calibri" w:eastAsia="Times New Roman" w:hAnsi="Calibri" w:cs="Calibri"/>
                <w:color w:val="000000"/>
                <w:sz w:val="18"/>
                <w:szCs w:val="18"/>
              </w:rPr>
              <w:t>Blood path, indirect</w:t>
            </w:r>
          </w:p>
        </w:tc>
        <w:tc>
          <w:tcPr>
            <w:tcW w:w="864" w:type="dxa"/>
            <w:tcBorders>
              <w:top w:val="nil"/>
              <w:left w:val="nil"/>
              <w:bottom w:val="single" w:sz="4" w:space="0" w:color="auto"/>
              <w:right w:val="nil"/>
            </w:tcBorders>
            <w:shd w:val="clear" w:color="auto" w:fill="auto"/>
            <w:noWrap/>
            <w:vAlign w:val="center"/>
            <w:hideMark/>
          </w:tcPr>
          <w:p w14:paraId="49C66EE2"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A</w:t>
            </w:r>
          </w:p>
        </w:tc>
        <w:tc>
          <w:tcPr>
            <w:tcW w:w="750" w:type="dxa"/>
            <w:tcBorders>
              <w:top w:val="nil"/>
              <w:left w:val="single" w:sz="8" w:space="0" w:color="auto"/>
              <w:bottom w:val="single" w:sz="4" w:space="0" w:color="auto"/>
              <w:right w:val="single" w:sz="4" w:space="0" w:color="auto"/>
            </w:tcBorders>
            <w:shd w:val="clear" w:color="000000" w:fill="7197C7"/>
            <w:noWrap/>
            <w:vAlign w:val="center"/>
            <w:hideMark/>
          </w:tcPr>
          <w:p w14:paraId="5C98B22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68F6C0FA"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5D5635F9"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4F6174A9"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68C5641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779E9BE0"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1ACEDD6F"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8" w:space="0" w:color="auto"/>
            </w:tcBorders>
            <w:shd w:val="clear" w:color="000000" w:fill="7197C7"/>
            <w:noWrap/>
            <w:vAlign w:val="center"/>
            <w:hideMark/>
          </w:tcPr>
          <w:p w14:paraId="0D11A4F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6CA6B5BB" w14:textId="77777777" w:rsidTr="008343B3">
        <w:trPr>
          <w:trHeight w:val="285"/>
          <w:jc w:val="center"/>
        </w:trPr>
        <w:tc>
          <w:tcPr>
            <w:tcW w:w="1413" w:type="dxa"/>
            <w:vMerge/>
            <w:tcBorders>
              <w:top w:val="nil"/>
              <w:left w:val="single" w:sz="8" w:space="0" w:color="auto"/>
              <w:bottom w:val="single" w:sz="8" w:space="0" w:color="000000"/>
              <w:right w:val="nil"/>
            </w:tcBorders>
            <w:vAlign w:val="center"/>
            <w:hideMark/>
          </w:tcPr>
          <w:p w14:paraId="69687FDD"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1281" w:type="dxa"/>
            <w:vMerge/>
            <w:tcBorders>
              <w:top w:val="nil"/>
              <w:left w:val="single" w:sz="8" w:space="0" w:color="auto"/>
              <w:bottom w:val="single" w:sz="4" w:space="0" w:color="auto"/>
              <w:right w:val="single" w:sz="8" w:space="0" w:color="auto"/>
            </w:tcBorders>
            <w:vAlign w:val="center"/>
            <w:hideMark/>
          </w:tcPr>
          <w:p w14:paraId="68FE2E4E"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864" w:type="dxa"/>
            <w:tcBorders>
              <w:top w:val="nil"/>
              <w:left w:val="nil"/>
              <w:bottom w:val="single" w:sz="4" w:space="0" w:color="auto"/>
              <w:right w:val="nil"/>
            </w:tcBorders>
            <w:shd w:val="clear" w:color="auto" w:fill="auto"/>
            <w:noWrap/>
            <w:vAlign w:val="center"/>
            <w:hideMark/>
          </w:tcPr>
          <w:p w14:paraId="7A434B30"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B</w:t>
            </w:r>
          </w:p>
        </w:tc>
        <w:tc>
          <w:tcPr>
            <w:tcW w:w="750" w:type="dxa"/>
            <w:tcBorders>
              <w:top w:val="nil"/>
              <w:left w:val="single" w:sz="8" w:space="0" w:color="auto"/>
              <w:bottom w:val="single" w:sz="4" w:space="0" w:color="auto"/>
              <w:right w:val="single" w:sz="4" w:space="0" w:color="auto"/>
            </w:tcBorders>
            <w:shd w:val="clear" w:color="000000" w:fill="7197C7"/>
            <w:noWrap/>
            <w:vAlign w:val="center"/>
            <w:hideMark/>
          </w:tcPr>
          <w:p w14:paraId="02A85D0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1004F736"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298C9229"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10CFFA9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15CC9E6A"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65E6072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44AD10F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8" w:space="0" w:color="auto"/>
            </w:tcBorders>
            <w:shd w:val="clear" w:color="000000" w:fill="7197C7"/>
            <w:noWrap/>
            <w:vAlign w:val="center"/>
            <w:hideMark/>
          </w:tcPr>
          <w:p w14:paraId="3E701371"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74C5A1A7" w14:textId="77777777" w:rsidTr="008343B3">
        <w:trPr>
          <w:trHeight w:val="293"/>
          <w:jc w:val="center"/>
        </w:trPr>
        <w:tc>
          <w:tcPr>
            <w:tcW w:w="1413" w:type="dxa"/>
            <w:vMerge/>
            <w:tcBorders>
              <w:top w:val="nil"/>
              <w:left w:val="single" w:sz="8" w:space="0" w:color="auto"/>
              <w:bottom w:val="single" w:sz="8" w:space="0" w:color="000000"/>
              <w:right w:val="nil"/>
            </w:tcBorders>
            <w:vAlign w:val="center"/>
            <w:hideMark/>
          </w:tcPr>
          <w:p w14:paraId="5296C569"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1281" w:type="dxa"/>
            <w:vMerge/>
            <w:tcBorders>
              <w:top w:val="nil"/>
              <w:left w:val="single" w:sz="8" w:space="0" w:color="auto"/>
              <w:bottom w:val="single" w:sz="4" w:space="0" w:color="auto"/>
              <w:right w:val="single" w:sz="8" w:space="0" w:color="auto"/>
            </w:tcBorders>
            <w:vAlign w:val="center"/>
            <w:hideMark/>
          </w:tcPr>
          <w:p w14:paraId="7D203E5C"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864" w:type="dxa"/>
            <w:tcBorders>
              <w:top w:val="nil"/>
              <w:left w:val="nil"/>
              <w:bottom w:val="nil"/>
              <w:right w:val="nil"/>
            </w:tcBorders>
            <w:shd w:val="clear" w:color="auto" w:fill="auto"/>
            <w:noWrap/>
            <w:vAlign w:val="center"/>
            <w:hideMark/>
          </w:tcPr>
          <w:p w14:paraId="59053ADE"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C</w:t>
            </w:r>
          </w:p>
        </w:tc>
        <w:tc>
          <w:tcPr>
            <w:tcW w:w="750" w:type="dxa"/>
            <w:tcBorders>
              <w:top w:val="nil"/>
              <w:left w:val="single" w:sz="8" w:space="0" w:color="auto"/>
              <w:bottom w:val="nil"/>
              <w:right w:val="single" w:sz="4" w:space="0" w:color="auto"/>
            </w:tcBorders>
            <w:shd w:val="clear" w:color="000000" w:fill="7197C7"/>
            <w:noWrap/>
            <w:vAlign w:val="center"/>
            <w:hideMark/>
          </w:tcPr>
          <w:p w14:paraId="38B042C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nil"/>
              <w:right w:val="single" w:sz="4" w:space="0" w:color="auto"/>
            </w:tcBorders>
            <w:shd w:val="clear" w:color="000000" w:fill="7197C7"/>
            <w:noWrap/>
            <w:vAlign w:val="center"/>
            <w:hideMark/>
          </w:tcPr>
          <w:p w14:paraId="5CFE5D86"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nil"/>
              <w:right w:val="single" w:sz="4" w:space="0" w:color="auto"/>
            </w:tcBorders>
            <w:shd w:val="clear" w:color="000000" w:fill="7197C7"/>
            <w:noWrap/>
            <w:vAlign w:val="center"/>
            <w:hideMark/>
          </w:tcPr>
          <w:p w14:paraId="2556D558"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nil"/>
              <w:right w:val="single" w:sz="4" w:space="0" w:color="auto"/>
            </w:tcBorders>
            <w:shd w:val="clear" w:color="000000" w:fill="7197C7"/>
            <w:noWrap/>
            <w:vAlign w:val="center"/>
            <w:hideMark/>
          </w:tcPr>
          <w:p w14:paraId="0F43478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nil"/>
              <w:right w:val="single" w:sz="4" w:space="0" w:color="auto"/>
            </w:tcBorders>
            <w:shd w:val="clear" w:color="000000" w:fill="7197C7"/>
            <w:noWrap/>
            <w:vAlign w:val="center"/>
            <w:hideMark/>
          </w:tcPr>
          <w:p w14:paraId="231B75C9"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nil"/>
              <w:right w:val="single" w:sz="4" w:space="0" w:color="auto"/>
            </w:tcBorders>
            <w:shd w:val="clear" w:color="auto" w:fill="auto"/>
            <w:noWrap/>
            <w:vAlign w:val="center"/>
            <w:hideMark/>
          </w:tcPr>
          <w:p w14:paraId="6F8269E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nil"/>
              <w:right w:val="single" w:sz="4" w:space="0" w:color="auto"/>
            </w:tcBorders>
            <w:shd w:val="clear" w:color="auto" w:fill="auto"/>
            <w:noWrap/>
            <w:vAlign w:val="center"/>
            <w:hideMark/>
          </w:tcPr>
          <w:p w14:paraId="79257A2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nil"/>
              <w:right w:val="single" w:sz="8" w:space="0" w:color="auto"/>
            </w:tcBorders>
            <w:shd w:val="clear" w:color="000000" w:fill="7197C7"/>
            <w:noWrap/>
            <w:vAlign w:val="center"/>
            <w:hideMark/>
          </w:tcPr>
          <w:p w14:paraId="2DCB8BF9"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00373C36" w14:textId="77777777" w:rsidTr="008343B3">
        <w:trPr>
          <w:trHeight w:val="285"/>
          <w:jc w:val="center"/>
        </w:trPr>
        <w:tc>
          <w:tcPr>
            <w:tcW w:w="1413" w:type="dxa"/>
            <w:vMerge/>
            <w:tcBorders>
              <w:top w:val="nil"/>
              <w:left w:val="single" w:sz="8" w:space="0" w:color="auto"/>
              <w:bottom w:val="single" w:sz="8" w:space="0" w:color="000000"/>
              <w:right w:val="nil"/>
            </w:tcBorders>
            <w:vAlign w:val="center"/>
            <w:hideMark/>
          </w:tcPr>
          <w:p w14:paraId="5CD76779"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128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EA964B3" w14:textId="77777777" w:rsidR="00456457" w:rsidRPr="00456457" w:rsidRDefault="00456457" w:rsidP="00456457">
            <w:pPr>
              <w:spacing w:after="0" w:line="240" w:lineRule="auto"/>
              <w:jc w:val="center"/>
              <w:rPr>
                <w:rFonts w:ascii="Calibri" w:eastAsia="Times New Roman" w:hAnsi="Calibri" w:cs="Calibri"/>
                <w:color w:val="000000"/>
                <w:sz w:val="18"/>
                <w:szCs w:val="18"/>
              </w:rPr>
            </w:pPr>
            <w:r w:rsidRPr="00456457">
              <w:rPr>
                <w:rFonts w:ascii="Calibri" w:eastAsia="Times New Roman" w:hAnsi="Calibri" w:cs="Calibri"/>
                <w:color w:val="000000"/>
                <w:sz w:val="18"/>
                <w:szCs w:val="18"/>
              </w:rPr>
              <w:t>Tissue</w:t>
            </w:r>
            <w:r w:rsidRPr="00456457">
              <w:rPr>
                <w:rFonts w:ascii="Calibri" w:eastAsia="Times New Roman" w:hAnsi="Calibri" w:cs="Calibri"/>
                <w:color w:val="000000"/>
                <w:sz w:val="18"/>
                <w:szCs w:val="18"/>
              </w:rPr>
              <w:br/>
              <w:t>Bone</w:t>
            </w:r>
            <w:r w:rsidRPr="00456457">
              <w:rPr>
                <w:rFonts w:ascii="Calibri" w:eastAsia="Times New Roman" w:hAnsi="Calibri" w:cs="Calibri"/>
                <w:color w:val="000000"/>
                <w:sz w:val="18"/>
                <w:szCs w:val="18"/>
              </w:rPr>
              <w:br/>
              <w:t>Dentin</w:t>
            </w:r>
          </w:p>
        </w:tc>
        <w:tc>
          <w:tcPr>
            <w:tcW w:w="864" w:type="dxa"/>
            <w:tcBorders>
              <w:top w:val="single" w:sz="8" w:space="0" w:color="auto"/>
              <w:left w:val="nil"/>
              <w:bottom w:val="single" w:sz="4" w:space="0" w:color="auto"/>
              <w:right w:val="nil"/>
            </w:tcBorders>
            <w:shd w:val="clear" w:color="auto" w:fill="auto"/>
            <w:noWrap/>
            <w:vAlign w:val="center"/>
            <w:hideMark/>
          </w:tcPr>
          <w:p w14:paraId="5388F567"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A</w:t>
            </w:r>
          </w:p>
        </w:tc>
        <w:tc>
          <w:tcPr>
            <w:tcW w:w="750" w:type="dxa"/>
            <w:tcBorders>
              <w:top w:val="single" w:sz="8" w:space="0" w:color="auto"/>
              <w:left w:val="single" w:sz="8" w:space="0" w:color="auto"/>
              <w:bottom w:val="single" w:sz="4" w:space="0" w:color="auto"/>
              <w:right w:val="single" w:sz="4" w:space="0" w:color="auto"/>
            </w:tcBorders>
            <w:shd w:val="clear" w:color="000000" w:fill="7197C7"/>
            <w:noWrap/>
            <w:vAlign w:val="center"/>
            <w:hideMark/>
          </w:tcPr>
          <w:p w14:paraId="483B4A1B"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single" w:sz="8" w:space="0" w:color="auto"/>
              <w:left w:val="nil"/>
              <w:bottom w:val="single" w:sz="4" w:space="0" w:color="auto"/>
              <w:right w:val="single" w:sz="4" w:space="0" w:color="auto"/>
            </w:tcBorders>
            <w:shd w:val="clear" w:color="000000" w:fill="7197C7"/>
            <w:noWrap/>
            <w:vAlign w:val="center"/>
            <w:hideMark/>
          </w:tcPr>
          <w:p w14:paraId="2596D7E9"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single" w:sz="8" w:space="0" w:color="auto"/>
              <w:left w:val="nil"/>
              <w:bottom w:val="single" w:sz="4" w:space="0" w:color="auto"/>
              <w:right w:val="single" w:sz="4" w:space="0" w:color="auto"/>
            </w:tcBorders>
            <w:shd w:val="clear" w:color="000000" w:fill="7197C7"/>
            <w:noWrap/>
            <w:vAlign w:val="center"/>
            <w:hideMark/>
          </w:tcPr>
          <w:p w14:paraId="26E5C0EA"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single" w:sz="8" w:space="0" w:color="auto"/>
              <w:left w:val="nil"/>
              <w:bottom w:val="single" w:sz="4" w:space="0" w:color="auto"/>
              <w:right w:val="single" w:sz="4" w:space="0" w:color="auto"/>
            </w:tcBorders>
            <w:shd w:val="clear" w:color="000000" w:fill="7197C7"/>
            <w:noWrap/>
            <w:vAlign w:val="center"/>
            <w:hideMark/>
          </w:tcPr>
          <w:p w14:paraId="57269E7C"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single" w:sz="8" w:space="0" w:color="auto"/>
              <w:left w:val="nil"/>
              <w:bottom w:val="single" w:sz="4" w:space="0" w:color="auto"/>
              <w:right w:val="single" w:sz="4" w:space="0" w:color="auto"/>
            </w:tcBorders>
            <w:shd w:val="clear" w:color="auto" w:fill="auto"/>
            <w:noWrap/>
            <w:vAlign w:val="center"/>
            <w:hideMark/>
          </w:tcPr>
          <w:p w14:paraId="7F9ACDD7"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single" w:sz="8" w:space="0" w:color="auto"/>
              <w:left w:val="nil"/>
              <w:bottom w:val="single" w:sz="4" w:space="0" w:color="auto"/>
              <w:right w:val="single" w:sz="4" w:space="0" w:color="auto"/>
            </w:tcBorders>
            <w:shd w:val="clear" w:color="auto" w:fill="auto"/>
            <w:noWrap/>
            <w:vAlign w:val="center"/>
            <w:hideMark/>
          </w:tcPr>
          <w:p w14:paraId="70D7A64A"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single" w:sz="8" w:space="0" w:color="auto"/>
              <w:left w:val="nil"/>
              <w:bottom w:val="single" w:sz="4" w:space="0" w:color="auto"/>
              <w:right w:val="single" w:sz="4" w:space="0" w:color="auto"/>
            </w:tcBorders>
            <w:shd w:val="clear" w:color="auto" w:fill="auto"/>
            <w:noWrap/>
            <w:vAlign w:val="center"/>
            <w:hideMark/>
          </w:tcPr>
          <w:p w14:paraId="1C136862"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single" w:sz="8" w:space="0" w:color="auto"/>
              <w:left w:val="nil"/>
              <w:bottom w:val="single" w:sz="4" w:space="0" w:color="auto"/>
              <w:right w:val="single" w:sz="8" w:space="0" w:color="auto"/>
            </w:tcBorders>
            <w:shd w:val="clear" w:color="000000" w:fill="7197C7"/>
            <w:noWrap/>
            <w:vAlign w:val="center"/>
            <w:hideMark/>
          </w:tcPr>
          <w:p w14:paraId="2F98490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7867FA58" w14:textId="77777777" w:rsidTr="008343B3">
        <w:trPr>
          <w:trHeight w:val="285"/>
          <w:jc w:val="center"/>
        </w:trPr>
        <w:tc>
          <w:tcPr>
            <w:tcW w:w="1413" w:type="dxa"/>
            <w:vMerge/>
            <w:tcBorders>
              <w:top w:val="nil"/>
              <w:left w:val="single" w:sz="8" w:space="0" w:color="auto"/>
              <w:bottom w:val="single" w:sz="8" w:space="0" w:color="000000"/>
              <w:right w:val="nil"/>
            </w:tcBorders>
            <w:vAlign w:val="center"/>
            <w:hideMark/>
          </w:tcPr>
          <w:p w14:paraId="620D97D7"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1281" w:type="dxa"/>
            <w:vMerge/>
            <w:tcBorders>
              <w:top w:val="single" w:sz="8" w:space="0" w:color="auto"/>
              <w:left w:val="single" w:sz="8" w:space="0" w:color="auto"/>
              <w:bottom w:val="single" w:sz="8" w:space="0" w:color="000000"/>
              <w:right w:val="single" w:sz="8" w:space="0" w:color="auto"/>
            </w:tcBorders>
            <w:vAlign w:val="center"/>
            <w:hideMark/>
          </w:tcPr>
          <w:p w14:paraId="3E870419"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864" w:type="dxa"/>
            <w:tcBorders>
              <w:top w:val="nil"/>
              <w:left w:val="nil"/>
              <w:bottom w:val="single" w:sz="4" w:space="0" w:color="auto"/>
              <w:right w:val="nil"/>
            </w:tcBorders>
            <w:shd w:val="clear" w:color="auto" w:fill="auto"/>
            <w:noWrap/>
            <w:vAlign w:val="center"/>
            <w:hideMark/>
          </w:tcPr>
          <w:p w14:paraId="5CB51802"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B</w:t>
            </w:r>
          </w:p>
        </w:tc>
        <w:tc>
          <w:tcPr>
            <w:tcW w:w="750" w:type="dxa"/>
            <w:tcBorders>
              <w:top w:val="nil"/>
              <w:left w:val="single" w:sz="8" w:space="0" w:color="auto"/>
              <w:bottom w:val="single" w:sz="4" w:space="0" w:color="auto"/>
              <w:right w:val="single" w:sz="4" w:space="0" w:color="auto"/>
            </w:tcBorders>
            <w:shd w:val="clear" w:color="000000" w:fill="7197C7"/>
            <w:noWrap/>
            <w:vAlign w:val="center"/>
            <w:hideMark/>
          </w:tcPr>
          <w:p w14:paraId="2A66F84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4B4F25F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36713A38"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30D351FB"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35FCE9A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429C2227"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7AD70962"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8" w:space="0" w:color="auto"/>
            </w:tcBorders>
            <w:shd w:val="clear" w:color="000000" w:fill="7197C7"/>
            <w:noWrap/>
            <w:vAlign w:val="center"/>
            <w:hideMark/>
          </w:tcPr>
          <w:p w14:paraId="268FDEE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3ACFB17A" w14:textId="77777777" w:rsidTr="008343B3">
        <w:trPr>
          <w:trHeight w:val="293"/>
          <w:jc w:val="center"/>
        </w:trPr>
        <w:tc>
          <w:tcPr>
            <w:tcW w:w="1413" w:type="dxa"/>
            <w:vMerge/>
            <w:tcBorders>
              <w:top w:val="nil"/>
              <w:left w:val="single" w:sz="8" w:space="0" w:color="auto"/>
              <w:bottom w:val="single" w:sz="8" w:space="0" w:color="000000"/>
              <w:right w:val="nil"/>
            </w:tcBorders>
            <w:vAlign w:val="center"/>
            <w:hideMark/>
          </w:tcPr>
          <w:p w14:paraId="47FBF06A"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1281" w:type="dxa"/>
            <w:vMerge/>
            <w:tcBorders>
              <w:top w:val="single" w:sz="8" w:space="0" w:color="auto"/>
              <w:left w:val="single" w:sz="8" w:space="0" w:color="auto"/>
              <w:bottom w:val="single" w:sz="8" w:space="0" w:color="000000"/>
              <w:right w:val="single" w:sz="8" w:space="0" w:color="auto"/>
            </w:tcBorders>
            <w:vAlign w:val="center"/>
            <w:hideMark/>
          </w:tcPr>
          <w:p w14:paraId="2742E275"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864" w:type="dxa"/>
            <w:tcBorders>
              <w:top w:val="nil"/>
              <w:left w:val="nil"/>
              <w:bottom w:val="single" w:sz="8" w:space="0" w:color="auto"/>
              <w:right w:val="nil"/>
            </w:tcBorders>
            <w:shd w:val="clear" w:color="auto" w:fill="auto"/>
            <w:noWrap/>
            <w:vAlign w:val="center"/>
            <w:hideMark/>
          </w:tcPr>
          <w:p w14:paraId="4BF6751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C</w:t>
            </w:r>
          </w:p>
        </w:tc>
        <w:tc>
          <w:tcPr>
            <w:tcW w:w="750" w:type="dxa"/>
            <w:tcBorders>
              <w:top w:val="nil"/>
              <w:left w:val="single" w:sz="8" w:space="0" w:color="auto"/>
              <w:bottom w:val="single" w:sz="8" w:space="0" w:color="auto"/>
              <w:right w:val="single" w:sz="4" w:space="0" w:color="auto"/>
            </w:tcBorders>
            <w:shd w:val="clear" w:color="000000" w:fill="7197C7"/>
            <w:noWrap/>
            <w:vAlign w:val="center"/>
            <w:hideMark/>
          </w:tcPr>
          <w:p w14:paraId="48F63A2F"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2923069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3FC005A7"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44A59FC0"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20EE588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auto" w:fill="auto"/>
            <w:noWrap/>
            <w:vAlign w:val="center"/>
            <w:hideMark/>
          </w:tcPr>
          <w:p w14:paraId="72C7DDDB"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auto" w:fill="auto"/>
            <w:noWrap/>
            <w:vAlign w:val="center"/>
            <w:hideMark/>
          </w:tcPr>
          <w:p w14:paraId="7897031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8" w:space="0" w:color="auto"/>
            </w:tcBorders>
            <w:shd w:val="clear" w:color="000000" w:fill="7197C7"/>
            <w:noWrap/>
            <w:vAlign w:val="center"/>
            <w:hideMark/>
          </w:tcPr>
          <w:p w14:paraId="545E2574"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5D39FB32" w14:textId="77777777" w:rsidTr="008343B3">
        <w:trPr>
          <w:trHeight w:val="285"/>
          <w:jc w:val="center"/>
        </w:trPr>
        <w:tc>
          <w:tcPr>
            <w:tcW w:w="1413" w:type="dxa"/>
            <w:vMerge/>
            <w:tcBorders>
              <w:top w:val="nil"/>
              <w:left w:val="single" w:sz="8" w:space="0" w:color="auto"/>
              <w:bottom w:val="single" w:sz="8" w:space="0" w:color="000000"/>
              <w:right w:val="nil"/>
            </w:tcBorders>
            <w:vAlign w:val="center"/>
            <w:hideMark/>
          </w:tcPr>
          <w:p w14:paraId="4CD86318"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1281" w:type="dxa"/>
            <w:vMerge w:val="restart"/>
            <w:tcBorders>
              <w:top w:val="nil"/>
              <w:left w:val="single" w:sz="8" w:space="0" w:color="auto"/>
              <w:bottom w:val="single" w:sz="8" w:space="0" w:color="000000"/>
              <w:right w:val="single" w:sz="8" w:space="0" w:color="auto"/>
            </w:tcBorders>
            <w:shd w:val="clear" w:color="auto" w:fill="auto"/>
            <w:vAlign w:val="center"/>
            <w:hideMark/>
          </w:tcPr>
          <w:p w14:paraId="245E7E64" w14:textId="77777777" w:rsidR="00456457" w:rsidRPr="00456457" w:rsidRDefault="00456457" w:rsidP="00456457">
            <w:pPr>
              <w:spacing w:after="0" w:line="240" w:lineRule="auto"/>
              <w:jc w:val="center"/>
              <w:rPr>
                <w:rFonts w:ascii="Calibri" w:eastAsia="Times New Roman" w:hAnsi="Calibri" w:cs="Calibri"/>
                <w:color w:val="000000"/>
                <w:sz w:val="18"/>
                <w:szCs w:val="18"/>
              </w:rPr>
            </w:pPr>
            <w:r w:rsidRPr="00456457">
              <w:rPr>
                <w:rFonts w:ascii="Calibri" w:eastAsia="Times New Roman" w:hAnsi="Calibri" w:cs="Calibri"/>
                <w:color w:val="000000"/>
                <w:sz w:val="18"/>
                <w:szCs w:val="18"/>
              </w:rPr>
              <w:t>Circulating blood</w:t>
            </w:r>
          </w:p>
        </w:tc>
        <w:tc>
          <w:tcPr>
            <w:tcW w:w="864" w:type="dxa"/>
            <w:tcBorders>
              <w:top w:val="nil"/>
              <w:left w:val="nil"/>
              <w:bottom w:val="single" w:sz="4" w:space="0" w:color="auto"/>
              <w:right w:val="nil"/>
            </w:tcBorders>
            <w:shd w:val="clear" w:color="auto" w:fill="auto"/>
            <w:noWrap/>
            <w:vAlign w:val="center"/>
            <w:hideMark/>
          </w:tcPr>
          <w:p w14:paraId="582380AB"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A</w:t>
            </w:r>
          </w:p>
        </w:tc>
        <w:tc>
          <w:tcPr>
            <w:tcW w:w="750" w:type="dxa"/>
            <w:tcBorders>
              <w:top w:val="nil"/>
              <w:left w:val="single" w:sz="8" w:space="0" w:color="auto"/>
              <w:bottom w:val="single" w:sz="4" w:space="0" w:color="auto"/>
              <w:right w:val="single" w:sz="4" w:space="0" w:color="auto"/>
            </w:tcBorders>
            <w:shd w:val="clear" w:color="000000" w:fill="7197C7"/>
            <w:noWrap/>
            <w:vAlign w:val="center"/>
            <w:hideMark/>
          </w:tcPr>
          <w:p w14:paraId="650BFEC1"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18391BC4"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61EAE606"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0B875A6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62A33226"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29C7BFC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6F145B27"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8" w:space="0" w:color="auto"/>
            </w:tcBorders>
            <w:shd w:val="clear" w:color="000000" w:fill="7197C7"/>
            <w:noWrap/>
            <w:vAlign w:val="center"/>
            <w:hideMark/>
          </w:tcPr>
          <w:p w14:paraId="7AF9D3A9"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65E5BCD6" w14:textId="77777777" w:rsidTr="008343B3">
        <w:trPr>
          <w:trHeight w:val="285"/>
          <w:jc w:val="center"/>
        </w:trPr>
        <w:tc>
          <w:tcPr>
            <w:tcW w:w="1413" w:type="dxa"/>
            <w:vMerge/>
            <w:tcBorders>
              <w:top w:val="nil"/>
              <w:left w:val="single" w:sz="8" w:space="0" w:color="auto"/>
              <w:bottom w:val="single" w:sz="8" w:space="0" w:color="000000"/>
              <w:right w:val="nil"/>
            </w:tcBorders>
            <w:vAlign w:val="center"/>
            <w:hideMark/>
          </w:tcPr>
          <w:p w14:paraId="1466904C"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1281" w:type="dxa"/>
            <w:vMerge/>
            <w:tcBorders>
              <w:top w:val="nil"/>
              <w:left w:val="single" w:sz="8" w:space="0" w:color="auto"/>
              <w:bottom w:val="single" w:sz="8" w:space="0" w:color="000000"/>
              <w:right w:val="single" w:sz="8" w:space="0" w:color="auto"/>
            </w:tcBorders>
            <w:vAlign w:val="center"/>
            <w:hideMark/>
          </w:tcPr>
          <w:p w14:paraId="3DBA7300"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864" w:type="dxa"/>
            <w:tcBorders>
              <w:top w:val="nil"/>
              <w:left w:val="nil"/>
              <w:bottom w:val="single" w:sz="4" w:space="0" w:color="auto"/>
              <w:right w:val="nil"/>
            </w:tcBorders>
            <w:shd w:val="clear" w:color="auto" w:fill="auto"/>
            <w:noWrap/>
            <w:vAlign w:val="center"/>
            <w:hideMark/>
          </w:tcPr>
          <w:p w14:paraId="34DA941A"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B</w:t>
            </w:r>
          </w:p>
        </w:tc>
        <w:tc>
          <w:tcPr>
            <w:tcW w:w="750" w:type="dxa"/>
            <w:tcBorders>
              <w:top w:val="nil"/>
              <w:left w:val="single" w:sz="8" w:space="0" w:color="auto"/>
              <w:bottom w:val="single" w:sz="4" w:space="0" w:color="auto"/>
              <w:right w:val="single" w:sz="4" w:space="0" w:color="auto"/>
            </w:tcBorders>
            <w:shd w:val="clear" w:color="000000" w:fill="7197C7"/>
            <w:noWrap/>
            <w:vAlign w:val="center"/>
            <w:hideMark/>
          </w:tcPr>
          <w:p w14:paraId="40707FC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36E23F4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20A2155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05191A80"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2F1A51F4"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1FC6D2FC"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2998E31E"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8" w:space="0" w:color="auto"/>
            </w:tcBorders>
            <w:shd w:val="clear" w:color="000000" w:fill="7197C7"/>
            <w:noWrap/>
            <w:vAlign w:val="center"/>
            <w:hideMark/>
          </w:tcPr>
          <w:p w14:paraId="694DBA02"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7F4FC37D" w14:textId="77777777" w:rsidTr="008343B3">
        <w:trPr>
          <w:trHeight w:val="293"/>
          <w:jc w:val="center"/>
        </w:trPr>
        <w:tc>
          <w:tcPr>
            <w:tcW w:w="1413" w:type="dxa"/>
            <w:vMerge/>
            <w:tcBorders>
              <w:top w:val="nil"/>
              <w:left w:val="single" w:sz="8" w:space="0" w:color="auto"/>
              <w:bottom w:val="single" w:sz="8" w:space="0" w:color="000000"/>
              <w:right w:val="nil"/>
            </w:tcBorders>
            <w:vAlign w:val="center"/>
            <w:hideMark/>
          </w:tcPr>
          <w:p w14:paraId="398A3CFA"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1281" w:type="dxa"/>
            <w:vMerge/>
            <w:tcBorders>
              <w:top w:val="nil"/>
              <w:left w:val="single" w:sz="8" w:space="0" w:color="auto"/>
              <w:bottom w:val="single" w:sz="8" w:space="0" w:color="000000"/>
              <w:right w:val="single" w:sz="8" w:space="0" w:color="auto"/>
            </w:tcBorders>
            <w:vAlign w:val="center"/>
            <w:hideMark/>
          </w:tcPr>
          <w:p w14:paraId="0752177E"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864" w:type="dxa"/>
            <w:tcBorders>
              <w:top w:val="nil"/>
              <w:left w:val="nil"/>
              <w:bottom w:val="single" w:sz="8" w:space="0" w:color="auto"/>
              <w:right w:val="nil"/>
            </w:tcBorders>
            <w:shd w:val="clear" w:color="auto" w:fill="auto"/>
            <w:noWrap/>
            <w:vAlign w:val="center"/>
            <w:hideMark/>
          </w:tcPr>
          <w:p w14:paraId="735BF9F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C</w:t>
            </w:r>
          </w:p>
        </w:tc>
        <w:tc>
          <w:tcPr>
            <w:tcW w:w="750" w:type="dxa"/>
            <w:tcBorders>
              <w:top w:val="nil"/>
              <w:left w:val="single" w:sz="8" w:space="0" w:color="auto"/>
              <w:bottom w:val="single" w:sz="8" w:space="0" w:color="auto"/>
              <w:right w:val="single" w:sz="4" w:space="0" w:color="auto"/>
            </w:tcBorders>
            <w:shd w:val="clear" w:color="000000" w:fill="7197C7"/>
            <w:noWrap/>
            <w:vAlign w:val="center"/>
            <w:hideMark/>
          </w:tcPr>
          <w:p w14:paraId="2A92481C"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48E534E9"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1C2BA736"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51BA90EB"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7D565A17"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74CB1292"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2D9472BC"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8" w:space="0" w:color="auto"/>
            </w:tcBorders>
            <w:shd w:val="clear" w:color="000000" w:fill="7197C7"/>
            <w:noWrap/>
            <w:vAlign w:val="center"/>
            <w:hideMark/>
          </w:tcPr>
          <w:p w14:paraId="33026E57"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4DC8B3E8" w14:textId="77777777" w:rsidTr="008343B3">
        <w:trPr>
          <w:trHeight w:val="285"/>
          <w:jc w:val="center"/>
        </w:trPr>
        <w:tc>
          <w:tcPr>
            <w:tcW w:w="1413" w:type="dxa"/>
            <w:vMerge w:val="restart"/>
            <w:tcBorders>
              <w:top w:val="nil"/>
              <w:left w:val="single" w:sz="8" w:space="0" w:color="auto"/>
              <w:bottom w:val="single" w:sz="8" w:space="0" w:color="000000"/>
              <w:right w:val="nil"/>
            </w:tcBorders>
            <w:shd w:val="clear" w:color="auto" w:fill="auto"/>
            <w:vAlign w:val="center"/>
            <w:hideMark/>
          </w:tcPr>
          <w:p w14:paraId="320B81FB" w14:textId="77777777" w:rsidR="00456457" w:rsidRPr="00456457" w:rsidRDefault="00456457" w:rsidP="00456457">
            <w:pPr>
              <w:spacing w:after="0" w:line="240" w:lineRule="auto"/>
              <w:jc w:val="center"/>
              <w:rPr>
                <w:rFonts w:ascii="Calibri" w:eastAsia="Times New Roman" w:hAnsi="Calibri" w:cs="Calibri"/>
                <w:color w:val="000000"/>
                <w:sz w:val="18"/>
                <w:szCs w:val="18"/>
              </w:rPr>
            </w:pPr>
            <w:r w:rsidRPr="00456457">
              <w:rPr>
                <w:rFonts w:ascii="Calibri" w:eastAsia="Times New Roman" w:hAnsi="Calibri" w:cs="Calibri"/>
                <w:color w:val="000000"/>
                <w:sz w:val="18"/>
                <w:szCs w:val="18"/>
              </w:rPr>
              <w:t>Implant device</w:t>
            </w:r>
          </w:p>
        </w:tc>
        <w:tc>
          <w:tcPr>
            <w:tcW w:w="1281" w:type="dxa"/>
            <w:vMerge w:val="restart"/>
            <w:tcBorders>
              <w:top w:val="nil"/>
              <w:left w:val="single" w:sz="8" w:space="0" w:color="auto"/>
              <w:bottom w:val="single" w:sz="4" w:space="0" w:color="auto"/>
              <w:right w:val="single" w:sz="8" w:space="0" w:color="auto"/>
            </w:tcBorders>
            <w:shd w:val="clear" w:color="auto" w:fill="auto"/>
            <w:vAlign w:val="center"/>
            <w:hideMark/>
          </w:tcPr>
          <w:p w14:paraId="7E863F7D" w14:textId="77777777" w:rsidR="00456457" w:rsidRPr="00456457" w:rsidRDefault="00456457" w:rsidP="00456457">
            <w:pPr>
              <w:spacing w:after="0" w:line="240" w:lineRule="auto"/>
              <w:jc w:val="center"/>
              <w:rPr>
                <w:rFonts w:ascii="Calibri" w:eastAsia="Times New Roman" w:hAnsi="Calibri" w:cs="Calibri"/>
                <w:color w:val="000000"/>
                <w:sz w:val="18"/>
                <w:szCs w:val="18"/>
              </w:rPr>
            </w:pPr>
            <w:r w:rsidRPr="00456457">
              <w:rPr>
                <w:rFonts w:ascii="Calibri" w:eastAsia="Times New Roman" w:hAnsi="Calibri" w:cs="Calibri"/>
                <w:color w:val="000000"/>
                <w:sz w:val="18"/>
                <w:szCs w:val="18"/>
              </w:rPr>
              <w:t>Tissue</w:t>
            </w:r>
            <w:r w:rsidRPr="00456457">
              <w:rPr>
                <w:rFonts w:ascii="Calibri" w:eastAsia="Times New Roman" w:hAnsi="Calibri" w:cs="Calibri"/>
                <w:color w:val="000000"/>
                <w:sz w:val="18"/>
                <w:szCs w:val="18"/>
              </w:rPr>
              <w:br/>
              <w:t>Bone</w:t>
            </w:r>
          </w:p>
        </w:tc>
        <w:tc>
          <w:tcPr>
            <w:tcW w:w="864" w:type="dxa"/>
            <w:tcBorders>
              <w:top w:val="nil"/>
              <w:left w:val="nil"/>
              <w:bottom w:val="single" w:sz="4" w:space="0" w:color="auto"/>
              <w:right w:val="nil"/>
            </w:tcBorders>
            <w:shd w:val="clear" w:color="auto" w:fill="auto"/>
            <w:noWrap/>
            <w:vAlign w:val="center"/>
            <w:hideMark/>
          </w:tcPr>
          <w:p w14:paraId="7F3E9F49"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A</w:t>
            </w:r>
          </w:p>
        </w:tc>
        <w:tc>
          <w:tcPr>
            <w:tcW w:w="750" w:type="dxa"/>
            <w:tcBorders>
              <w:top w:val="nil"/>
              <w:left w:val="single" w:sz="8" w:space="0" w:color="auto"/>
              <w:bottom w:val="single" w:sz="4" w:space="0" w:color="auto"/>
              <w:right w:val="single" w:sz="4" w:space="0" w:color="auto"/>
            </w:tcBorders>
            <w:shd w:val="clear" w:color="000000" w:fill="7197C7"/>
            <w:noWrap/>
            <w:vAlign w:val="center"/>
            <w:hideMark/>
          </w:tcPr>
          <w:p w14:paraId="20719D8C"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41B5B83C"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7369AE5C"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3852F416"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616AC2C9"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57BF8E3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6ABF646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8" w:space="0" w:color="auto"/>
            </w:tcBorders>
            <w:shd w:val="clear" w:color="000000" w:fill="7197C7"/>
            <w:noWrap/>
            <w:vAlign w:val="center"/>
            <w:hideMark/>
          </w:tcPr>
          <w:p w14:paraId="4B7B21B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47E2D6C4" w14:textId="77777777" w:rsidTr="008343B3">
        <w:trPr>
          <w:trHeight w:val="285"/>
          <w:jc w:val="center"/>
        </w:trPr>
        <w:tc>
          <w:tcPr>
            <w:tcW w:w="1413" w:type="dxa"/>
            <w:vMerge/>
            <w:tcBorders>
              <w:top w:val="nil"/>
              <w:left w:val="single" w:sz="8" w:space="0" w:color="auto"/>
              <w:bottom w:val="single" w:sz="8" w:space="0" w:color="000000"/>
              <w:right w:val="nil"/>
            </w:tcBorders>
            <w:vAlign w:val="center"/>
            <w:hideMark/>
          </w:tcPr>
          <w:p w14:paraId="27AAA9FE" w14:textId="77777777" w:rsidR="00456457" w:rsidRPr="00456457" w:rsidRDefault="00456457" w:rsidP="00456457">
            <w:pPr>
              <w:spacing w:after="0" w:line="240" w:lineRule="auto"/>
              <w:rPr>
                <w:rFonts w:ascii="Calibri" w:eastAsia="Times New Roman" w:hAnsi="Calibri" w:cs="Calibri"/>
                <w:color w:val="000000"/>
              </w:rPr>
            </w:pPr>
          </w:p>
        </w:tc>
        <w:tc>
          <w:tcPr>
            <w:tcW w:w="1281" w:type="dxa"/>
            <w:vMerge/>
            <w:tcBorders>
              <w:top w:val="nil"/>
              <w:left w:val="single" w:sz="8" w:space="0" w:color="auto"/>
              <w:bottom w:val="single" w:sz="4" w:space="0" w:color="auto"/>
              <w:right w:val="single" w:sz="8" w:space="0" w:color="auto"/>
            </w:tcBorders>
            <w:vAlign w:val="center"/>
            <w:hideMark/>
          </w:tcPr>
          <w:p w14:paraId="59483F87"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864" w:type="dxa"/>
            <w:tcBorders>
              <w:top w:val="nil"/>
              <w:left w:val="nil"/>
              <w:bottom w:val="single" w:sz="4" w:space="0" w:color="auto"/>
              <w:right w:val="nil"/>
            </w:tcBorders>
            <w:shd w:val="clear" w:color="auto" w:fill="auto"/>
            <w:noWrap/>
            <w:vAlign w:val="center"/>
            <w:hideMark/>
          </w:tcPr>
          <w:p w14:paraId="43B9F81B"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B</w:t>
            </w:r>
          </w:p>
        </w:tc>
        <w:tc>
          <w:tcPr>
            <w:tcW w:w="750" w:type="dxa"/>
            <w:tcBorders>
              <w:top w:val="nil"/>
              <w:left w:val="single" w:sz="8" w:space="0" w:color="auto"/>
              <w:bottom w:val="single" w:sz="4" w:space="0" w:color="auto"/>
              <w:right w:val="single" w:sz="4" w:space="0" w:color="auto"/>
            </w:tcBorders>
            <w:shd w:val="clear" w:color="000000" w:fill="7197C7"/>
            <w:noWrap/>
            <w:vAlign w:val="center"/>
            <w:hideMark/>
          </w:tcPr>
          <w:p w14:paraId="50700A62"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754B44F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63A2939F"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6F06226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596211D2"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225287D2"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auto" w:fill="auto"/>
            <w:noWrap/>
            <w:vAlign w:val="center"/>
            <w:hideMark/>
          </w:tcPr>
          <w:p w14:paraId="533157A8"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8" w:space="0" w:color="auto"/>
            </w:tcBorders>
            <w:shd w:val="clear" w:color="000000" w:fill="7197C7"/>
            <w:noWrap/>
            <w:vAlign w:val="center"/>
            <w:hideMark/>
          </w:tcPr>
          <w:p w14:paraId="26FCB61A"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3D9ADEB5" w14:textId="77777777" w:rsidTr="008343B3">
        <w:trPr>
          <w:trHeight w:val="293"/>
          <w:jc w:val="center"/>
        </w:trPr>
        <w:tc>
          <w:tcPr>
            <w:tcW w:w="1413" w:type="dxa"/>
            <w:vMerge/>
            <w:tcBorders>
              <w:top w:val="nil"/>
              <w:left w:val="single" w:sz="8" w:space="0" w:color="auto"/>
              <w:bottom w:val="single" w:sz="8" w:space="0" w:color="000000"/>
              <w:right w:val="nil"/>
            </w:tcBorders>
            <w:vAlign w:val="center"/>
            <w:hideMark/>
          </w:tcPr>
          <w:p w14:paraId="6455F671" w14:textId="77777777" w:rsidR="00456457" w:rsidRPr="00456457" w:rsidRDefault="00456457" w:rsidP="00456457">
            <w:pPr>
              <w:spacing w:after="0" w:line="240" w:lineRule="auto"/>
              <w:rPr>
                <w:rFonts w:ascii="Calibri" w:eastAsia="Times New Roman" w:hAnsi="Calibri" w:cs="Calibri"/>
                <w:color w:val="000000"/>
              </w:rPr>
            </w:pPr>
          </w:p>
        </w:tc>
        <w:tc>
          <w:tcPr>
            <w:tcW w:w="1281" w:type="dxa"/>
            <w:vMerge/>
            <w:tcBorders>
              <w:top w:val="nil"/>
              <w:left w:val="single" w:sz="8" w:space="0" w:color="auto"/>
              <w:bottom w:val="single" w:sz="4" w:space="0" w:color="auto"/>
              <w:right w:val="single" w:sz="8" w:space="0" w:color="auto"/>
            </w:tcBorders>
            <w:vAlign w:val="center"/>
            <w:hideMark/>
          </w:tcPr>
          <w:p w14:paraId="50DC33B4" w14:textId="77777777" w:rsidR="00456457" w:rsidRPr="00456457" w:rsidRDefault="00456457" w:rsidP="00456457">
            <w:pPr>
              <w:spacing w:after="0" w:line="240" w:lineRule="auto"/>
              <w:rPr>
                <w:rFonts w:ascii="Calibri" w:eastAsia="Times New Roman" w:hAnsi="Calibri" w:cs="Calibri"/>
                <w:color w:val="000000"/>
                <w:sz w:val="18"/>
                <w:szCs w:val="18"/>
              </w:rPr>
            </w:pPr>
          </w:p>
        </w:tc>
        <w:tc>
          <w:tcPr>
            <w:tcW w:w="864" w:type="dxa"/>
            <w:tcBorders>
              <w:top w:val="nil"/>
              <w:left w:val="nil"/>
              <w:bottom w:val="nil"/>
              <w:right w:val="nil"/>
            </w:tcBorders>
            <w:shd w:val="clear" w:color="auto" w:fill="auto"/>
            <w:noWrap/>
            <w:vAlign w:val="center"/>
            <w:hideMark/>
          </w:tcPr>
          <w:p w14:paraId="2AB8546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C</w:t>
            </w:r>
          </w:p>
        </w:tc>
        <w:tc>
          <w:tcPr>
            <w:tcW w:w="750" w:type="dxa"/>
            <w:tcBorders>
              <w:top w:val="nil"/>
              <w:left w:val="single" w:sz="8" w:space="0" w:color="auto"/>
              <w:bottom w:val="nil"/>
              <w:right w:val="single" w:sz="4" w:space="0" w:color="auto"/>
            </w:tcBorders>
            <w:shd w:val="clear" w:color="000000" w:fill="7197C7"/>
            <w:noWrap/>
            <w:vAlign w:val="center"/>
            <w:hideMark/>
          </w:tcPr>
          <w:p w14:paraId="7C8A2531"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nil"/>
              <w:right w:val="single" w:sz="4" w:space="0" w:color="auto"/>
            </w:tcBorders>
            <w:shd w:val="clear" w:color="000000" w:fill="7197C7"/>
            <w:noWrap/>
            <w:vAlign w:val="center"/>
            <w:hideMark/>
          </w:tcPr>
          <w:p w14:paraId="5AC1B0BA"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nil"/>
              <w:right w:val="single" w:sz="4" w:space="0" w:color="auto"/>
            </w:tcBorders>
            <w:shd w:val="clear" w:color="000000" w:fill="7197C7"/>
            <w:noWrap/>
            <w:vAlign w:val="center"/>
            <w:hideMark/>
          </w:tcPr>
          <w:p w14:paraId="53A5A70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nil"/>
              <w:right w:val="single" w:sz="4" w:space="0" w:color="auto"/>
            </w:tcBorders>
            <w:shd w:val="clear" w:color="000000" w:fill="7197C7"/>
            <w:noWrap/>
            <w:vAlign w:val="center"/>
            <w:hideMark/>
          </w:tcPr>
          <w:p w14:paraId="1504F6F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nil"/>
              <w:right w:val="single" w:sz="4" w:space="0" w:color="auto"/>
            </w:tcBorders>
            <w:shd w:val="clear" w:color="000000" w:fill="7197C7"/>
            <w:noWrap/>
            <w:vAlign w:val="center"/>
            <w:hideMark/>
          </w:tcPr>
          <w:p w14:paraId="7A82D8D0"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nil"/>
              <w:right w:val="single" w:sz="4" w:space="0" w:color="auto"/>
            </w:tcBorders>
            <w:shd w:val="clear" w:color="auto" w:fill="auto"/>
            <w:noWrap/>
            <w:vAlign w:val="center"/>
            <w:hideMark/>
          </w:tcPr>
          <w:p w14:paraId="08C48C2B"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nil"/>
              <w:right w:val="single" w:sz="4" w:space="0" w:color="auto"/>
            </w:tcBorders>
            <w:shd w:val="clear" w:color="auto" w:fill="auto"/>
            <w:noWrap/>
            <w:vAlign w:val="center"/>
            <w:hideMark/>
          </w:tcPr>
          <w:p w14:paraId="7741F09C"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nil"/>
              <w:right w:val="single" w:sz="8" w:space="0" w:color="auto"/>
            </w:tcBorders>
            <w:shd w:val="clear" w:color="000000" w:fill="7197C7"/>
            <w:noWrap/>
            <w:vAlign w:val="center"/>
            <w:hideMark/>
          </w:tcPr>
          <w:p w14:paraId="37B88A3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7E9FED84" w14:textId="77777777" w:rsidTr="008343B3">
        <w:trPr>
          <w:trHeight w:val="285"/>
          <w:jc w:val="center"/>
        </w:trPr>
        <w:tc>
          <w:tcPr>
            <w:tcW w:w="1413" w:type="dxa"/>
            <w:vMerge/>
            <w:tcBorders>
              <w:top w:val="nil"/>
              <w:left w:val="single" w:sz="8" w:space="0" w:color="auto"/>
              <w:bottom w:val="single" w:sz="8" w:space="0" w:color="000000"/>
              <w:right w:val="nil"/>
            </w:tcBorders>
            <w:vAlign w:val="center"/>
            <w:hideMark/>
          </w:tcPr>
          <w:p w14:paraId="795E9C38" w14:textId="77777777" w:rsidR="00456457" w:rsidRPr="00456457" w:rsidRDefault="00456457" w:rsidP="00456457">
            <w:pPr>
              <w:spacing w:after="0" w:line="240" w:lineRule="auto"/>
              <w:rPr>
                <w:rFonts w:ascii="Calibri" w:eastAsia="Times New Roman" w:hAnsi="Calibri" w:cs="Calibri"/>
                <w:color w:val="000000"/>
              </w:rPr>
            </w:pPr>
          </w:p>
        </w:tc>
        <w:tc>
          <w:tcPr>
            <w:tcW w:w="128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D9C01B6" w14:textId="77777777" w:rsidR="00456457" w:rsidRPr="00456457" w:rsidRDefault="00456457" w:rsidP="00456457">
            <w:pPr>
              <w:spacing w:after="0" w:line="240" w:lineRule="auto"/>
              <w:jc w:val="center"/>
              <w:rPr>
                <w:rFonts w:ascii="Calibri" w:eastAsia="Times New Roman" w:hAnsi="Calibri" w:cs="Calibri"/>
                <w:color w:val="000000"/>
                <w:sz w:val="18"/>
                <w:szCs w:val="18"/>
              </w:rPr>
            </w:pPr>
            <w:r w:rsidRPr="00456457">
              <w:rPr>
                <w:rFonts w:ascii="Calibri" w:eastAsia="Times New Roman" w:hAnsi="Calibri" w:cs="Calibri"/>
                <w:color w:val="000000"/>
                <w:sz w:val="18"/>
                <w:szCs w:val="18"/>
              </w:rPr>
              <w:t>Blood</w:t>
            </w:r>
          </w:p>
        </w:tc>
        <w:tc>
          <w:tcPr>
            <w:tcW w:w="864" w:type="dxa"/>
            <w:tcBorders>
              <w:top w:val="single" w:sz="8" w:space="0" w:color="auto"/>
              <w:left w:val="nil"/>
              <w:bottom w:val="single" w:sz="4" w:space="0" w:color="auto"/>
              <w:right w:val="nil"/>
            </w:tcBorders>
            <w:shd w:val="clear" w:color="auto" w:fill="auto"/>
            <w:noWrap/>
            <w:vAlign w:val="center"/>
            <w:hideMark/>
          </w:tcPr>
          <w:p w14:paraId="24FA7637"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A</w:t>
            </w:r>
          </w:p>
        </w:tc>
        <w:tc>
          <w:tcPr>
            <w:tcW w:w="750" w:type="dxa"/>
            <w:tcBorders>
              <w:top w:val="single" w:sz="8" w:space="0" w:color="auto"/>
              <w:left w:val="single" w:sz="8" w:space="0" w:color="auto"/>
              <w:bottom w:val="single" w:sz="4" w:space="0" w:color="auto"/>
              <w:right w:val="single" w:sz="4" w:space="0" w:color="auto"/>
            </w:tcBorders>
            <w:shd w:val="clear" w:color="000000" w:fill="7197C7"/>
            <w:noWrap/>
            <w:vAlign w:val="center"/>
            <w:hideMark/>
          </w:tcPr>
          <w:p w14:paraId="3795E051"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single" w:sz="8" w:space="0" w:color="auto"/>
              <w:left w:val="nil"/>
              <w:bottom w:val="single" w:sz="4" w:space="0" w:color="auto"/>
              <w:right w:val="single" w:sz="4" w:space="0" w:color="auto"/>
            </w:tcBorders>
            <w:shd w:val="clear" w:color="000000" w:fill="7197C7"/>
            <w:noWrap/>
            <w:vAlign w:val="center"/>
            <w:hideMark/>
          </w:tcPr>
          <w:p w14:paraId="0BCB501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single" w:sz="8" w:space="0" w:color="auto"/>
              <w:left w:val="nil"/>
              <w:bottom w:val="single" w:sz="4" w:space="0" w:color="auto"/>
              <w:right w:val="single" w:sz="4" w:space="0" w:color="auto"/>
            </w:tcBorders>
            <w:shd w:val="clear" w:color="000000" w:fill="7197C7"/>
            <w:noWrap/>
            <w:vAlign w:val="center"/>
            <w:hideMark/>
          </w:tcPr>
          <w:p w14:paraId="11CBE224"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single" w:sz="8" w:space="0" w:color="auto"/>
              <w:left w:val="nil"/>
              <w:bottom w:val="single" w:sz="4" w:space="0" w:color="auto"/>
              <w:right w:val="single" w:sz="4" w:space="0" w:color="auto"/>
            </w:tcBorders>
            <w:shd w:val="clear" w:color="000000" w:fill="7197C7"/>
            <w:noWrap/>
            <w:vAlign w:val="center"/>
            <w:hideMark/>
          </w:tcPr>
          <w:p w14:paraId="55AF2E82"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single" w:sz="8" w:space="0" w:color="auto"/>
              <w:left w:val="nil"/>
              <w:bottom w:val="single" w:sz="4" w:space="0" w:color="auto"/>
              <w:right w:val="single" w:sz="4" w:space="0" w:color="auto"/>
            </w:tcBorders>
            <w:shd w:val="clear" w:color="000000" w:fill="7197C7"/>
            <w:noWrap/>
            <w:vAlign w:val="center"/>
            <w:hideMark/>
          </w:tcPr>
          <w:p w14:paraId="3C980A3E"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single" w:sz="8" w:space="0" w:color="auto"/>
              <w:left w:val="nil"/>
              <w:bottom w:val="single" w:sz="4" w:space="0" w:color="auto"/>
              <w:right w:val="single" w:sz="4" w:space="0" w:color="auto"/>
            </w:tcBorders>
            <w:shd w:val="clear" w:color="000000" w:fill="7197C7"/>
            <w:noWrap/>
            <w:vAlign w:val="center"/>
            <w:hideMark/>
          </w:tcPr>
          <w:p w14:paraId="2FCDBE46"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single" w:sz="8" w:space="0" w:color="auto"/>
              <w:left w:val="nil"/>
              <w:bottom w:val="single" w:sz="4" w:space="0" w:color="auto"/>
              <w:right w:val="single" w:sz="4" w:space="0" w:color="auto"/>
            </w:tcBorders>
            <w:shd w:val="clear" w:color="000000" w:fill="7197C7"/>
            <w:noWrap/>
            <w:vAlign w:val="center"/>
            <w:hideMark/>
          </w:tcPr>
          <w:p w14:paraId="03093D6E"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single" w:sz="8" w:space="0" w:color="auto"/>
              <w:left w:val="nil"/>
              <w:bottom w:val="single" w:sz="4" w:space="0" w:color="auto"/>
              <w:right w:val="single" w:sz="8" w:space="0" w:color="auto"/>
            </w:tcBorders>
            <w:shd w:val="clear" w:color="000000" w:fill="7197C7"/>
            <w:noWrap/>
            <w:vAlign w:val="center"/>
            <w:hideMark/>
          </w:tcPr>
          <w:p w14:paraId="148648B4"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0C83C9AE" w14:textId="77777777" w:rsidTr="008343B3">
        <w:trPr>
          <w:trHeight w:val="285"/>
          <w:jc w:val="center"/>
        </w:trPr>
        <w:tc>
          <w:tcPr>
            <w:tcW w:w="1413" w:type="dxa"/>
            <w:vMerge/>
            <w:tcBorders>
              <w:top w:val="nil"/>
              <w:left w:val="single" w:sz="8" w:space="0" w:color="auto"/>
              <w:bottom w:val="single" w:sz="8" w:space="0" w:color="000000"/>
              <w:right w:val="nil"/>
            </w:tcBorders>
            <w:vAlign w:val="center"/>
            <w:hideMark/>
          </w:tcPr>
          <w:p w14:paraId="5867E6C6" w14:textId="77777777" w:rsidR="00456457" w:rsidRPr="00456457" w:rsidRDefault="00456457" w:rsidP="00456457">
            <w:pPr>
              <w:spacing w:after="0" w:line="240" w:lineRule="auto"/>
              <w:rPr>
                <w:rFonts w:ascii="Calibri" w:eastAsia="Times New Roman" w:hAnsi="Calibri" w:cs="Calibri"/>
                <w:color w:val="000000"/>
              </w:rPr>
            </w:pPr>
          </w:p>
        </w:tc>
        <w:tc>
          <w:tcPr>
            <w:tcW w:w="1281" w:type="dxa"/>
            <w:vMerge/>
            <w:tcBorders>
              <w:top w:val="single" w:sz="8" w:space="0" w:color="auto"/>
              <w:left w:val="single" w:sz="8" w:space="0" w:color="auto"/>
              <w:bottom w:val="single" w:sz="8" w:space="0" w:color="000000"/>
              <w:right w:val="single" w:sz="8" w:space="0" w:color="auto"/>
            </w:tcBorders>
            <w:vAlign w:val="center"/>
            <w:hideMark/>
          </w:tcPr>
          <w:p w14:paraId="250D23A8" w14:textId="77777777" w:rsidR="00456457" w:rsidRPr="00456457" w:rsidRDefault="00456457" w:rsidP="00456457">
            <w:pPr>
              <w:spacing w:after="0" w:line="240" w:lineRule="auto"/>
              <w:rPr>
                <w:rFonts w:ascii="Calibri" w:eastAsia="Times New Roman" w:hAnsi="Calibri" w:cs="Calibri"/>
                <w:color w:val="000000"/>
              </w:rPr>
            </w:pPr>
          </w:p>
        </w:tc>
        <w:tc>
          <w:tcPr>
            <w:tcW w:w="864" w:type="dxa"/>
            <w:tcBorders>
              <w:top w:val="nil"/>
              <w:left w:val="nil"/>
              <w:bottom w:val="single" w:sz="4" w:space="0" w:color="auto"/>
              <w:right w:val="nil"/>
            </w:tcBorders>
            <w:shd w:val="clear" w:color="auto" w:fill="auto"/>
            <w:noWrap/>
            <w:vAlign w:val="center"/>
            <w:hideMark/>
          </w:tcPr>
          <w:p w14:paraId="041DA2D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B</w:t>
            </w:r>
          </w:p>
        </w:tc>
        <w:tc>
          <w:tcPr>
            <w:tcW w:w="750" w:type="dxa"/>
            <w:tcBorders>
              <w:top w:val="nil"/>
              <w:left w:val="single" w:sz="8" w:space="0" w:color="auto"/>
              <w:bottom w:val="single" w:sz="4" w:space="0" w:color="auto"/>
              <w:right w:val="single" w:sz="4" w:space="0" w:color="auto"/>
            </w:tcBorders>
            <w:shd w:val="clear" w:color="000000" w:fill="7197C7"/>
            <w:noWrap/>
            <w:vAlign w:val="center"/>
            <w:hideMark/>
          </w:tcPr>
          <w:p w14:paraId="7FFC345E"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0971F170"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73480FC1"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2E91568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18B22762"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059D8B02"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4" w:space="0" w:color="auto"/>
            </w:tcBorders>
            <w:shd w:val="clear" w:color="000000" w:fill="7197C7"/>
            <w:noWrap/>
            <w:vAlign w:val="center"/>
            <w:hideMark/>
          </w:tcPr>
          <w:p w14:paraId="07EA8C3E"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4" w:space="0" w:color="auto"/>
              <w:right w:val="single" w:sz="8" w:space="0" w:color="auto"/>
            </w:tcBorders>
            <w:shd w:val="clear" w:color="000000" w:fill="7197C7"/>
            <w:noWrap/>
            <w:vAlign w:val="center"/>
            <w:hideMark/>
          </w:tcPr>
          <w:p w14:paraId="4C12E90F"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r w:rsidR="00456457" w:rsidRPr="00456457" w14:paraId="67D98F31" w14:textId="77777777" w:rsidTr="008343B3">
        <w:trPr>
          <w:trHeight w:val="293"/>
          <w:jc w:val="center"/>
        </w:trPr>
        <w:tc>
          <w:tcPr>
            <w:tcW w:w="1413" w:type="dxa"/>
            <w:vMerge/>
            <w:tcBorders>
              <w:top w:val="nil"/>
              <w:left w:val="single" w:sz="8" w:space="0" w:color="auto"/>
              <w:bottom w:val="single" w:sz="8" w:space="0" w:color="000000"/>
              <w:right w:val="nil"/>
            </w:tcBorders>
            <w:vAlign w:val="center"/>
            <w:hideMark/>
          </w:tcPr>
          <w:p w14:paraId="36DCDAE6" w14:textId="77777777" w:rsidR="00456457" w:rsidRPr="00456457" w:rsidRDefault="00456457" w:rsidP="00456457">
            <w:pPr>
              <w:spacing w:after="0" w:line="240" w:lineRule="auto"/>
              <w:rPr>
                <w:rFonts w:ascii="Calibri" w:eastAsia="Times New Roman" w:hAnsi="Calibri" w:cs="Calibri"/>
                <w:color w:val="000000"/>
              </w:rPr>
            </w:pPr>
          </w:p>
        </w:tc>
        <w:tc>
          <w:tcPr>
            <w:tcW w:w="1281" w:type="dxa"/>
            <w:vMerge/>
            <w:tcBorders>
              <w:top w:val="single" w:sz="8" w:space="0" w:color="auto"/>
              <w:left w:val="single" w:sz="8" w:space="0" w:color="auto"/>
              <w:bottom w:val="single" w:sz="8" w:space="0" w:color="000000"/>
              <w:right w:val="single" w:sz="8" w:space="0" w:color="auto"/>
            </w:tcBorders>
            <w:vAlign w:val="center"/>
            <w:hideMark/>
          </w:tcPr>
          <w:p w14:paraId="51C6765B" w14:textId="77777777" w:rsidR="00456457" w:rsidRPr="00456457" w:rsidRDefault="00456457" w:rsidP="00456457">
            <w:pPr>
              <w:spacing w:after="0" w:line="240" w:lineRule="auto"/>
              <w:rPr>
                <w:rFonts w:ascii="Calibri" w:eastAsia="Times New Roman" w:hAnsi="Calibri" w:cs="Calibri"/>
                <w:color w:val="000000"/>
              </w:rPr>
            </w:pPr>
          </w:p>
        </w:tc>
        <w:tc>
          <w:tcPr>
            <w:tcW w:w="864" w:type="dxa"/>
            <w:tcBorders>
              <w:top w:val="nil"/>
              <w:left w:val="nil"/>
              <w:bottom w:val="single" w:sz="8" w:space="0" w:color="auto"/>
              <w:right w:val="nil"/>
            </w:tcBorders>
            <w:shd w:val="clear" w:color="auto" w:fill="auto"/>
            <w:noWrap/>
            <w:vAlign w:val="center"/>
            <w:hideMark/>
          </w:tcPr>
          <w:p w14:paraId="45B761DE"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C</w:t>
            </w:r>
          </w:p>
        </w:tc>
        <w:tc>
          <w:tcPr>
            <w:tcW w:w="750" w:type="dxa"/>
            <w:tcBorders>
              <w:top w:val="nil"/>
              <w:left w:val="single" w:sz="8" w:space="0" w:color="auto"/>
              <w:bottom w:val="single" w:sz="8" w:space="0" w:color="auto"/>
              <w:right w:val="single" w:sz="4" w:space="0" w:color="auto"/>
            </w:tcBorders>
            <w:shd w:val="clear" w:color="000000" w:fill="7197C7"/>
            <w:noWrap/>
            <w:vAlign w:val="center"/>
            <w:hideMark/>
          </w:tcPr>
          <w:p w14:paraId="27324F3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5015314A"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5810D4F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18C64BCA"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0A56523D"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2C9D9713"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4" w:space="0" w:color="auto"/>
            </w:tcBorders>
            <w:shd w:val="clear" w:color="000000" w:fill="7197C7"/>
            <w:noWrap/>
            <w:vAlign w:val="center"/>
            <w:hideMark/>
          </w:tcPr>
          <w:p w14:paraId="34B96E1F"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c>
          <w:tcPr>
            <w:tcW w:w="750" w:type="dxa"/>
            <w:tcBorders>
              <w:top w:val="nil"/>
              <w:left w:val="nil"/>
              <w:bottom w:val="single" w:sz="8" w:space="0" w:color="auto"/>
              <w:right w:val="single" w:sz="8" w:space="0" w:color="auto"/>
            </w:tcBorders>
            <w:shd w:val="clear" w:color="000000" w:fill="7197C7"/>
            <w:noWrap/>
            <w:vAlign w:val="center"/>
            <w:hideMark/>
          </w:tcPr>
          <w:p w14:paraId="48C27A45" w14:textId="77777777" w:rsidR="00456457" w:rsidRPr="00456457" w:rsidRDefault="00456457" w:rsidP="00456457">
            <w:pPr>
              <w:spacing w:after="0" w:line="240" w:lineRule="auto"/>
              <w:jc w:val="center"/>
              <w:rPr>
                <w:rFonts w:ascii="Calibri" w:eastAsia="Times New Roman" w:hAnsi="Calibri" w:cs="Calibri"/>
                <w:color w:val="000000"/>
              </w:rPr>
            </w:pPr>
            <w:r w:rsidRPr="00456457">
              <w:rPr>
                <w:rFonts w:ascii="Calibri" w:eastAsia="Times New Roman" w:hAnsi="Calibri" w:cs="Calibri"/>
                <w:color w:val="000000"/>
              </w:rPr>
              <w:t> </w:t>
            </w:r>
          </w:p>
        </w:tc>
      </w:tr>
    </w:tbl>
    <w:p w14:paraId="64EF024D" w14:textId="77777777" w:rsidR="0025602F" w:rsidRDefault="0025602F" w:rsidP="00D766A0">
      <w:pPr>
        <w:ind w:left="720"/>
      </w:pPr>
    </w:p>
    <w:p w14:paraId="58F6003A" w14:textId="77777777" w:rsidR="00146F7F" w:rsidRDefault="00146F7F">
      <w:pPr>
        <w:rPr>
          <w:b/>
          <w:bCs/>
        </w:rPr>
      </w:pPr>
      <w:r>
        <w:rPr>
          <w:b/>
          <w:bCs/>
        </w:rPr>
        <w:br w:type="page"/>
      </w:r>
    </w:p>
    <w:p w14:paraId="18905F52" w14:textId="5A6111D5" w:rsidR="00AE7907" w:rsidRDefault="00AE7907" w:rsidP="001626F7">
      <w:pPr>
        <w:pStyle w:val="ListParagraph"/>
        <w:numPr>
          <w:ilvl w:val="2"/>
          <w:numId w:val="13"/>
        </w:numPr>
        <w:rPr>
          <w:b/>
          <w:bCs/>
        </w:rPr>
      </w:pPr>
      <w:r>
        <w:rPr>
          <w:b/>
          <w:bCs/>
        </w:rPr>
        <w:lastRenderedPageBreak/>
        <w:t>Challenges</w:t>
      </w:r>
    </w:p>
    <w:p w14:paraId="62DE8D85" w14:textId="582E6F4B" w:rsidR="00AE7907" w:rsidRDefault="00AE7907" w:rsidP="00AE7907">
      <w:pPr>
        <w:ind w:left="720"/>
      </w:pPr>
      <w:r w:rsidRPr="00AE7907">
        <w:t xml:space="preserve">While this strategy offers significant advantages in terms of speed and cost reduction, it presents several </w:t>
      </w:r>
      <w:r w:rsidR="00D338DE">
        <w:t xml:space="preserve">distinct </w:t>
      </w:r>
      <w:r w:rsidRPr="00AE7907">
        <w:t xml:space="preserve">challenges. One of the primary concerns is the robustness of the device to repeated sterilization cycles. If a product cannot withstand at least 1.5x sterilization cycles without degradation, additional validation testing will be required, increasing costs and </w:t>
      </w:r>
      <w:r w:rsidR="00D338DE">
        <w:t>time to trial</w:t>
      </w:r>
      <w:r w:rsidRPr="00AE7907">
        <w:t xml:space="preserve">. </w:t>
      </w:r>
    </w:p>
    <w:p w14:paraId="2496BA47" w14:textId="60AAF966" w:rsidR="00B6479A" w:rsidRDefault="00AE7907" w:rsidP="00AD07A8">
      <w:pPr>
        <w:ind w:left="720"/>
        <w:rPr>
          <w:b/>
          <w:bCs/>
        </w:rPr>
      </w:pPr>
      <w:r w:rsidRPr="00AE7907">
        <w:t xml:space="preserve">Another challenge is the logistical complexity of manufacturing and sterilizing devices every 3-6 months. Since aging studies are not conducted, frequent production runs are necessary to </w:t>
      </w:r>
      <w:r w:rsidR="003870C4">
        <w:t>allow timely enrollment</w:t>
      </w:r>
      <w:r w:rsidRPr="00AE7907">
        <w:t xml:space="preserve"> </w:t>
      </w:r>
      <w:r w:rsidR="00772844">
        <w:t xml:space="preserve">given the short shelf-life. This may pose additional challenges related to </w:t>
      </w:r>
      <w:r w:rsidRPr="00AE7907">
        <w:t>supply chain management</w:t>
      </w:r>
      <w:r w:rsidR="00772844">
        <w:t xml:space="preserve"> and internal manufacturing lead times</w:t>
      </w:r>
      <w:r w:rsidRPr="00AE7907">
        <w:t>. Additionally, reliance on hand-carry logistics may not be scalable</w:t>
      </w:r>
      <w:r w:rsidR="00772844">
        <w:t xml:space="preserve"> given the complexity of the clinical effort and scope</w:t>
      </w:r>
      <w:r w:rsidRPr="00AE7907">
        <w:t xml:space="preserve">. </w:t>
      </w:r>
      <w:r w:rsidR="004A0443">
        <w:t xml:space="preserve">A </w:t>
      </w:r>
      <w:r w:rsidR="006A4F1C">
        <w:t>production</w:t>
      </w:r>
      <w:r w:rsidR="004A0443">
        <w:t xml:space="preserve"> sterilization </w:t>
      </w:r>
      <w:r w:rsidR="006A4F1C">
        <w:t>validation</w:t>
      </w:r>
      <w:r w:rsidR="004A0443">
        <w:t xml:space="preserve"> will eventually be required, so the strategy </w:t>
      </w:r>
      <w:r w:rsidR="00D766A0">
        <w:t>adds cost at the benefit of reducing time to trial.</w:t>
      </w:r>
    </w:p>
    <w:p w14:paraId="6592699D" w14:textId="56701306" w:rsidR="008952B6" w:rsidRPr="00D766A0" w:rsidRDefault="008952B6" w:rsidP="00D766A0">
      <w:pPr>
        <w:pStyle w:val="ListParagraph"/>
        <w:numPr>
          <w:ilvl w:val="0"/>
          <w:numId w:val="13"/>
        </w:numPr>
        <w:rPr>
          <w:b/>
          <w:bCs/>
        </w:rPr>
      </w:pPr>
      <w:r w:rsidRPr="00D766A0">
        <w:rPr>
          <w:b/>
          <w:bCs/>
        </w:rPr>
        <w:t>Conclusion</w:t>
      </w:r>
    </w:p>
    <w:p w14:paraId="0D65B653" w14:textId="146E5CCF" w:rsidR="00851CC0" w:rsidRPr="00BF4C86" w:rsidRDefault="008952B6" w:rsidP="00F41F3D">
      <w:pPr>
        <w:ind w:left="720"/>
      </w:pPr>
      <w:r w:rsidRPr="008952B6">
        <w:t>Th</w:t>
      </w:r>
      <w:r w:rsidR="001626F7">
        <w:t>e</w:t>
      </w:r>
      <w:r w:rsidRPr="008952B6">
        <w:t xml:space="preserve"> approach </w:t>
      </w:r>
      <w:r w:rsidR="001626F7">
        <w:t xml:space="preserve">described herein </w:t>
      </w:r>
      <w:r w:rsidRPr="008952B6">
        <w:t xml:space="preserve">is ideal for rapidly initiating an EFS but comes with trade-offs. It is most effective when the device is robust to sterilization and has a clear path to clinical use without extended shelf-life validation. Careful planning is required to </w:t>
      </w:r>
      <w:r w:rsidR="00F41F3D">
        <w:t xml:space="preserve">manage production schedules and </w:t>
      </w:r>
      <w:r w:rsidR="00FE3AA3">
        <w:t>supply chains, however simulated distribution</w:t>
      </w:r>
      <w:r w:rsidR="00C209D1">
        <w:t xml:space="preserve">, </w:t>
      </w:r>
      <w:proofErr w:type="gramStart"/>
      <w:r w:rsidR="00FE3AA3">
        <w:t>shelf life</w:t>
      </w:r>
      <w:proofErr w:type="gramEnd"/>
      <w:r w:rsidR="00FE3AA3">
        <w:t xml:space="preserve"> testing</w:t>
      </w:r>
      <w:r w:rsidR="00C209D1">
        <w:t>, and/or sterilization validation</w:t>
      </w:r>
      <w:r w:rsidR="00FE3AA3">
        <w:t xml:space="preserve"> can completed at any time along the path along </w:t>
      </w:r>
      <w:r w:rsidR="00C209D1">
        <w:t xml:space="preserve">to alleviate any manufacturing pressure that arises. </w:t>
      </w:r>
    </w:p>
    <w:sectPr w:rsidR="00851CC0" w:rsidRPr="00BF4C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E36A3" w14:textId="77777777" w:rsidR="00FB2E21" w:rsidRDefault="00FB2E21" w:rsidP="00C97D5A">
      <w:pPr>
        <w:spacing w:after="0" w:line="240" w:lineRule="auto"/>
      </w:pPr>
      <w:r>
        <w:separator/>
      </w:r>
    </w:p>
  </w:endnote>
  <w:endnote w:type="continuationSeparator" w:id="0">
    <w:p w14:paraId="549E665D" w14:textId="77777777" w:rsidR="00FB2E21" w:rsidRDefault="00FB2E21" w:rsidP="00C97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B5DE9" w14:textId="77777777" w:rsidR="004E3FDF" w:rsidRDefault="004E3F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988BB" w14:textId="5BE1AC9B" w:rsidR="00B6479A" w:rsidRDefault="00B6479A">
    <w:pPr>
      <w:pStyle w:val="Footer"/>
    </w:pPr>
    <w:r>
      <w:t xml:space="preserve">© Calytra, Inc. All rights reserved. </w:t>
    </w:r>
    <w:r>
      <w:tab/>
    </w:r>
    <w:r>
      <w:tab/>
    </w:r>
    <w:r w:rsidR="001860C5">
      <w:t xml:space="preserve">Page | </w:t>
    </w:r>
    <w:r w:rsidR="001860C5">
      <w:fldChar w:fldCharType="begin"/>
    </w:r>
    <w:r w:rsidR="001860C5">
      <w:instrText xml:space="preserve"> PAGE   \* MERGEFORMAT </w:instrText>
    </w:r>
    <w:r w:rsidR="001860C5">
      <w:fldChar w:fldCharType="separate"/>
    </w:r>
    <w:r w:rsidR="001860C5">
      <w:rPr>
        <w:noProof/>
      </w:rPr>
      <w:t>1</w:t>
    </w:r>
    <w:r w:rsidR="001860C5">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33591" w14:textId="77777777" w:rsidR="004E3FDF" w:rsidRDefault="004E3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C7FC5" w14:textId="77777777" w:rsidR="00FB2E21" w:rsidRDefault="00FB2E21" w:rsidP="00C97D5A">
      <w:pPr>
        <w:spacing w:after="0" w:line="240" w:lineRule="auto"/>
      </w:pPr>
      <w:r>
        <w:separator/>
      </w:r>
    </w:p>
  </w:footnote>
  <w:footnote w:type="continuationSeparator" w:id="0">
    <w:p w14:paraId="395257E2" w14:textId="77777777" w:rsidR="00FB2E21" w:rsidRDefault="00FB2E21" w:rsidP="00C97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DC030" w14:textId="77777777" w:rsidR="004E3FDF" w:rsidRDefault="004E3F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F01FA" w14:textId="6040CA35" w:rsidR="00C97D5A" w:rsidRDefault="00C97D5A" w:rsidP="00C97D5A">
    <w:pPr>
      <w:pStyle w:val="Header"/>
      <w:spacing w:after="360"/>
      <w:jc w:val="center"/>
    </w:pPr>
    <w:r>
      <w:rPr>
        <w:noProof/>
      </w:rPr>
      <w:drawing>
        <wp:inline distT="0" distB="0" distL="0" distR="0" wp14:anchorId="5CD86F18" wp14:editId="3795F72F">
          <wp:extent cx="1932167" cy="570076"/>
          <wp:effectExtent l="0" t="0" r="0" b="1905"/>
          <wp:docPr id="71635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52920" name="Picture 716352920"/>
                  <pic:cNvPicPr/>
                </pic:nvPicPr>
                <pic:blipFill>
                  <a:blip r:embed="rId1">
                    <a:extLst>
                      <a:ext uri="{28A0092B-C50C-407E-A947-70E740481C1C}">
                        <a14:useLocalDpi xmlns:a14="http://schemas.microsoft.com/office/drawing/2010/main" val="0"/>
                      </a:ext>
                    </a:extLst>
                  </a:blip>
                  <a:stretch>
                    <a:fillRect/>
                  </a:stretch>
                </pic:blipFill>
                <pic:spPr>
                  <a:xfrm>
                    <a:off x="0" y="0"/>
                    <a:ext cx="1946136" cy="57419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CCD30" w14:textId="77777777" w:rsidR="004E3FDF" w:rsidRDefault="004E3F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24AE"/>
    <w:multiLevelType w:val="multilevel"/>
    <w:tmpl w:val="C57C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23C56"/>
    <w:multiLevelType w:val="multilevel"/>
    <w:tmpl w:val="FE7EB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8596C"/>
    <w:multiLevelType w:val="multilevel"/>
    <w:tmpl w:val="B4DE2776"/>
    <w:lvl w:ilvl="0">
      <w:start w:val="1"/>
      <w:numFmt w:val="decimal"/>
      <w:lvlText w:val="%1.0"/>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214D49"/>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25D01"/>
    <w:multiLevelType w:val="multilevel"/>
    <w:tmpl w:val="9478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B47B1"/>
    <w:multiLevelType w:val="multilevel"/>
    <w:tmpl w:val="B60C777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B244B"/>
    <w:multiLevelType w:val="multilevel"/>
    <w:tmpl w:val="13805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07DE1"/>
    <w:multiLevelType w:val="multilevel"/>
    <w:tmpl w:val="0D38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34C8C"/>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6A3A52"/>
    <w:multiLevelType w:val="multilevel"/>
    <w:tmpl w:val="3284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46E22"/>
    <w:multiLevelType w:val="multilevel"/>
    <w:tmpl w:val="A87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D5EB2"/>
    <w:multiLevelType w:val="multilevel"/>
    <w:tmpl w:val="E572E6B6"/>
    <w:lvl w:ilvl="0">
      <w:start w:val="1"/>
      <w:numFmt w:val="decimal"/>
      <w:lvlText w:val="%1.0"/>
      <w:lvlJc w:val="left"/>
      <w:pPr>
        <w:ind w:left="360" w:hanging="360"/>
      </w:pPr>
      <w:rPr>
        <w:rFonts w:hint="default"/>
        <w:b/>
        <w:bCs/>
        <w:sz w:val="20"/>
      </w:rPr>
    </w:lvl>
    <w:lvl w:ilvl="1">
      <w:start w:val="1"/>
      <w:numFmt w:val="decimal"/>
      <w:lvlText w:val="%1.%2."/>
      <w:lvlJc w:val="left"/>
      <w:pPr>
        <w:ind w:left="792" w:hanging="432"/>
      </w:pPr>
      <w:rPr>
        <w:rFonts w:hint="default"/>
        <w:b/>
        <w:bCs/>
        <w:sz w:val="20"/>
      </w:rPr>
    </w:lvl>
    <w:lvl w:ilvl="2">
      <w:start w:val="1"/>
      <w:numFmt w:val="decimal"/>
      <w:lvlText w:val="%1.%2.%3."/>
      <w:lvlJc w:val="left"/>
      <w:pPr>
        <w:ind w:left="1224" w:hanging="504"/>
      </w:pPr>
      <w:rPr>
        <w:rFonts w:hint="default"/>
        <w:b/>
        <w:bCs/>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 w15:restartNumberingAfterBreak="0">
    <w:nsid w:val="455B04C9"/>
    <w:multiLevelType w:val="hybridMultilevel"/>
    <w:tmpl w:val="69EE4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805B79"/>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625C52"/>
    <w:multiLevelType w:val="multilevel"/>
    <w:tmpl w:val="DA06A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A7740"/>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251F62"/>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1C6162"/>
    <w:multiLevelType w:val="multilevel"/>
    <w:tmpl w:val="FF10BF74"/>
    <w:lvl w:ilvl="0">
      <w:start w:val="1"/>
      <w:numFmt w:val="decimal"/>
      <w:lvlText w:val="%1.0"/>
      <w:lvlJc w:val="left"/>
      <w:pPr>
        <w:ind w:left="360" w:hanging="360"/>
      </w:pPr>
      <w:rPr>
        <w:rFonts w:hint="default"/>
        <w:b/>
        <w:bCs/>
        <w:sz w:val="20"/>
      </w:rPr>
    </w:lvl>
    <w:lvl w:ilvl="1">
      <w:start w:val="1"/>
      <w:numFmt w:val="decimal"/>
      <w:lvlText w:val="%1.%2."/>
      <w:lvlJc w:val="left"/>
      <w:pPr>
        <w:ind w:left="792" w:hanging="432"/>
      </w:pPr>
      <w:rPr>
        <w:rFonts w:hint="default"/>
        <w:b/>
        <w:bCs/>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8" w15:restartNumberingAfterBreak="0">
    <w:nsid w:val="62506044"/>
    <w:multiLevelType w:val="multilevel"/>
    <w:tmpl w:val="1256D6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0B0A8E"/>
    <w:multiLevelType w:val="multilevel"/>
    <w:tmpl w:val="3E2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854C7"/>
    <w:multiLevelType w:val="multilevel"/>
    <w:tmpl w:val="61241FB2"/>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B45B59"/>
    <w:multiLevelType w:val="multilevel"/>
    <w:tmpl w:val="5238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45310">
    <w:abstractNumId w:val="14"/>
  </w:num>
  <w:num w:numId="2" w16cid:durableId="1841657708">
    <w:abstractNumId w:val="21"/>
  </w:num>
  <w:num w:numId="3" w16cid:durableId="266232325">
    <w:abstractNumId w:val="9"/>
  </w:num>
  <w:num w:numId="4" w16cid:durableId="482551547">
    <w:abstractNumId w:val="6"/>
  </w:num>
  <w:num w:numId="5" w16cid:durableId="165948334">
    <w:abstractNumId w:val="7"/>
  </w:num>
  <w:num w:numId="6" w16cid:durableId="324868220">
    <w:abstractNumId w:val="19"/>
  </w:num>
  <w:num w:numId="7" w16cid:durableId="319894939">
    <w:abstractNumId w:val="8"/>
  </w:num>
  <w:num w:numId="8" w16cid:durableId="2054305124">
    <w:abstractNumId w:val="10"/>
  </w:num>
  <w:num w:numId="9" w16cid:durableId="1193499700">
    <w:abstractNumId w:val="3"/>
  </w:num>
  <w:num w:numId="10" w16cid:durableId="393087513">
    <w:abstractNumId w:val="1"/>
  </w:num>
  <w:num w:numId="11" w16cid:durableId="914432037">
    <w:abstractNumId w:val="0"/>
  </w:num>
  <w:num w:numId="12" w16cid:durableId="1563760119">
    <w:abstractNumId w:val="16"/>
  </w:num>
  <w:num w:numId="13" w16cid:durableId="335499642">
    <w:abstractNumId w:val="2"/>
  </w:num>
  <w:num w:numId="14" w16cid:durableId="81221120">
    <w:abstractNumId w:val="4"/>
  </w:num>
  <w:num w:numId="15" w16cid:durableId="146097270">
    <w:abstractNumId w:val="5"/>
  </w:num>
  <w:num w:numId="16" w16cid:durableId="791090872">
    <w:abstractNumId w:val="13"/>
  </w:num>
  <w:num w:numId="17" w16cid:durableId="228853767">
    <w:abstractNumId w:val="20"/>
  </w:num>
  <w:num w:numId="18" w16cid:durableId="569122556">
    <w:abstractNumId w:val="18"/>
  </w:num>
  <w:num w:numId="19" w16cid:durableId="1571382463">
    <w:abstractNumId w:val="12"/>
  </w:num>
  <w:num w:numId="20" w16cid:durableId="1400666145">
    <w:abstractNumId w:val="15"/>
  </w:num>
  <w:num w:numId="21" w16cid:durableId="208107126">
    <w:abstractNumId w:val="11"/>
  </w:num>
  <w:num w:numId="22" w16cid:durableId="5356558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07"/>
    <w:rsid w:val="00030E0D"/>
    <w:rsid w:val="0006147E"/>
    <w:rsid w:val="00082630"/>
    <w:rsid w:val="000851A5"/>
    <w:rsid w:val="000B03C5"/>
    <w:rsid w:val="000C68A2"/>
    <w:rsid w:val="000E1752"/>
    <w:rsid w:val="00146F7F"/>
    <w:rsid w:val="001575B7"/>
    <w:rsid w:val="001626F7"/>
    <w:rsid w:val="001860C5"/>
    <w:rsid w:val="001A3789"/>
    <w:rsid w:val="001A6487"/>
    <w:rsid w:val="001C4C7F"/>
    <w:rsid w:val="002021F0"/>
    <w:rsid w:val="00204BFB"/>
    <w:rsid w:val="00210E50"/>
    <w:rsid w:val="0025602F"/>
    <w:rsid w:val="00281D07"/>
    <w:rsid w:val="002E029B"/>
    <w:rsid w:val="003870C4"/>
    <w:rsid w:val="003E2CCB"/>
    <w:rsid w:val="003E31DC"/>
    <w:rsid w:val="00453659"/>
    <w:rsid w:val="00456457"/>
    <w:rsid w:val="00456698"/>
    <w:rsid w:val="00460CB3"/>
    <w:rsid w:val="004735E9"/>
    <w:rsid w:val="00476C04"/>
    <w:rsid w:val="004A0443"/>
    <w:rsid w:val="004B3D42"/>
    <w:rsid w:val="004E3FDF"/>
    <w:rsid w:val="0058108F"/>
    <w:rsid w:val="00583268"/>
    <w:rsid w:val="00585B65"/>
    <w:rsid w:val="005B7103"/>
    <w:rsid w:val="005C3AC8"/>
    <w:rsid w:val="005F69E5"/>
    <w:rsid w:val="006716DD"/>
    <w:rsid w:val="006A27DF"/>
    <w:rsid w:val="006A4F1C"/>
    <w:rsid w:val="006C44C5"/>
    <w:rsid w:val="006F42D0"/>
    <w:rsid w:val="00715473"/>
    <w:rsid w:val="007170E4"/>
    <w:rsid w:val="0077204B"/>
    <w:rsid w:val="00772844"/>
    <w:rsid w:val="007C1B6E"/>
    <w:rsid w:val="008343B3"/>
    <w:rsid w:val="00851CC0"/>
    <w:rsid w:val="008867C8"/>
    <w:rsid w:val="008952B6"/>
    <w:rsid w:val="008A145A"/>
    <w:rsid w:val="008E1874"/>
    <w:rsid w:val="008F1363"/>
    <w:rsid w:val="008F276D"/>
    <w:rsid w:val="008F4F59"/>
    <w:rsid w:val="008F7133"/>
    <w:rsid w:val="00906E80"/>
    <w:rsid w:val="009A2840"/>
    <w:rsid w:val="00A530CD"/>
    <w:rsid w:val="00A712CF"/>
    <w:rsid w:val="00AD07A8"/>
    <w:rsid w:val="00AE7907"/>
    <w:rsid w:val="00B420C3"/>
    <w:rsid w:val="00B6479A"/>
    <w:rsid w:val="00BD6F7D"/>
    <w:rsid w:val="00BF4C86"/>
    <w:rsid w:val="00C209D1"/>
    <w:rsid w:val="00C304EC"/>
    <w:rsid w:val="00C8113B"/>
    <w:rsid w:val="00C97D5A"/>
    <w:rsid w:val="00D070DD"/>
    <w:rsid w:val="00D338DE"/>
    <w:rsid w:val="00D5404C"/>
    <w:rsid w:val="00D700F1"/>
    <w:rsid w:val="00D766A0"/>
    <w:rsid w:val="00D81EF5"/>
    <w:rsid w:val="00E04AD1"/>
    <w:rsid w:val="00E15916"/>
    <w:rsid w:val="00EB0BB4"/>
    <w:rsid w:val="00EB6EE0"/>
    <w:rsid w:val="00ED4D31"/>
    <w:rsid w:val="00EF35F0"/>
    <w:rsid w:val="00F37E5D"/>
    <w:rsid w:val="00F41F3D"/>
    <w:rsid w:val="00FB2E21"/>
    <w:rsid w:val="00FE3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879EB"/>
  <w15:chartTrackingRefBased/>
  <w15:docId w15:val="{CDE2B2FF-6F79-42C8-BFF5-F8BCCD3B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D5A"/>
  </w:style>
  <w:style w:type="paragraph" w:styleId="Heading1">
    <w:name w:val="heading 1"/>
    <w:basedOn w:val="Normal"/>
    <w:next w:val="Normal"/>
    <w:link w:val="Heading1Char"/>
    <w:uiPriority w:val="9"/>
    <w:qFormat/>
    <w:rsid w:val="00281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1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81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1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81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D07"/>
    <w:rPr>
      <w:rFonts w:eastAsiaTheme="majorEastAsia" w:cstheme="majorBidi"/>
      <w:color w:val="272727" w:themeColor="text1" w:themeTint="D8"/>
    </w:rPr>
  </w:style>
  <w:style w:type="paragraph" w:styleId="Title">
    <w:name w:val="Title"/>
    <w:basedOn w:val="Normal"/>
    <w:next w:val="Normal"/>
    <w:link w:val="TitleChar"/>
    <w:uiPriority w:val="10"/>
    <w:qFormat/>
    <w:rsid w:val="00281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D07"/>
    <w:pPr>
      <w:spacing w:before="160"/>
      <w:jc w:val="center"/>
    </w:pPr>
    <w:rPr>
      <w:i/>
      <w:iCs/>
      <w:color w:val="404040" w:themeColor="text1" w:themeTint="BF"/>
    </w:rPr>
  </w:style>
  <w:style w:type="character" w:customStyle="1" w:styleId="QuoteChar">
    <w:name w:val="Quote Char"/>
    <w:basedOn w:val="DefaultParagraphFont"/>
    <w:link w:val="Quote"/>
    <w:uiPriority w:val="29"/>
    <w:rsid w:val="00281D07"/>
    <w:rPr>
      <w:i/>
      <w:iCs/>
      <w:color w:val="404040" w:themeColor="text1" w:themeTint="BF"/>
    </w:rPr>
  </w:style>
  <w:style w:type="paragraph" w:styleId="ListParagraph">
    <w:name w:val="List Paragraph"/>
    <w:basedOn w:val="Normal"/>
    <w:uiPriority w:val="34"/>
    <w:qFormat/>
    <w:rsid w:val="00281D07"/>
    <w:pPr>
      <w:ind w:left="720"/>
      <w:contextualSpacing/>
    </w:pPr>
  </w:style>
  <w:style w:type="character" w:styleId="IntenseEmphasis">
    <w:name w:val="Intense Emphasis"/>
    <w:basedOn w:val="DefaultParagraphFont"/>
    <w:uiPriority w:val="21"/>
    <w:qFormat/>
    <w:rsid w:val="00281D07"/>
    <w:rPr>
      <w:i/>
      <w:iCs/>
      <w:color w:val="2F5496" w:themeColor="accent1" w:themeShade="BF"/>
    </w:rPr>
  </w:style>
  <w:style w:type="paragraph" w:styleId="IntenseQuote">
    <w:name w:val="Intense Quote"/>
    <w:basedOn w:val="Normal"/>
    <w:next w:val="Normal"/>
    <w:link w:val="IntenseQuoteChar"/>
    <w:uiPriority w:val="30"/>
    <w:qFormat/>
    <w:rsid w:val="00281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D07"/>
    <w:rPr>
      <w:i/>
      <w:iCs/>
      <w:color w:val="2F5496" w:themeColor="accent1" w:themeShade="BF"/>
    </w:rPr>
  </w:style>
  <w:style w:type="character" w:styleId="IntenseReference">
    <w:name w:val="Intense Reference"/>
    <w:basedOn w:val="DefaultParagraphFont"/>
    <w:uiPriority w:val="32"/>
    <w:qFormat/>
    <w:rsid w:val="00281D07"/>
    <w:rPr>
      <w:b/>
      <w:bCs/>
      <w:smallCaps/>
      <w:color w:val="2F5496" w:themeColor="accent1" w:themeShade="BF"/>
      <w:spacing w:val="5"/>
    </w:rPr>
  </w:style>
  <w:style w:type="paragraph" w:styleId="Header">
    <w:name w:val="header"/>
    <w:basedOn w:val="Normal"/>
    <w:link w:val="HeaderChar"/>
    <w:uiPriority w:val="99"/>
    <w:unhideWhenUsed/>
    <w:rsid w:val="00C97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D5A"/>
  </w:style>
  <w:style w:type="paragraph" w:styleId="Footer">
    <w:name w:val="footer"/>
    <w:basedOn w:val="Normal"/>
    <w:link w:val="FooterChar"/>
    <w:uiPriority w:val="99"/>
    <w:unhideWhenUsed/>
    <w:rsid w:val="00C97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D5A"/>
  </w:style>
  <w:style w:type="table" w:styleId="TableGrid">
    <w:name w:val="Table Grid"/>
    <w:basedOn w:val="TableNormal"/>
    <w:uiPriority w:val="39"/>
    <w:rsid w:val="00C97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97D5A"/>
    <w:pPr>
      <w:spacing w:after="200" w:line="240" w:lineRule="auto"/>
    </w:pPr>
    <w:rPr>
      <w:i/>
      <w:iCs/>
      <w:color w:val="44546A" w:themeColor="text2"/>
      <w:sz w:val="18"/>
      <w:szCs w:val="18"/>
    </w:rPr>
  </w:style>
  <w:style w:type="paragraph" w:styleId="NormalWeb">
    <w:name w:val="Normal (Web)"/>
    <w:basedOn w:val="Normal"/>
    <w:uiPriority w:val="99"/>
    <w:semiHidden/>
    <w:unhideWhenUsed/>
    <w:rsid w:val="00A712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57953">
      <w:bodyDiv w:val="1"/>
      <w:marLeft w:val="0"/>
      <w:marRight w:val="0"/>
      <w:marTop w:val="0"/>
      <w:marBottom w:val="0"/>
      <w:divBdr>
        <w:top w:val="none" w:sz="0" w:space="0" w:color="auto"/>
        <w:left w:val="none" w:sz="0" w:space="0" w:color="auto"/>
        <w:bottom w:val="none" w:sz="0" w:space="0" w:color="auto"/>
        <w:right w:val="none" w:sz="0" w:space="0" w:color="auto"/>
      </w:divBdr>
    </w:div>
    <w:div w:id="172766110">
      <w:bodyDiv w:val="1"/>
      <w:marLeft w:val="0"/>
      <w:marRight w:val="0"/>
      <w:marTop w:val="0"/>
      <w:marBottom w:val="0"/>
      <w:divBdr>
        <w:top w:val="none" w:sz="0" w:space="0" w:color="auto"/>
        <w:left w:val="none" w:sz="0" w:space="0" w:color="auto"/>
        <w:bottom w:val="none" w:sz="0" w:space="0" w:color="auto"/>
        <w:right w:val="none" w:sz="0" w:space="0" w:color="auto"/>
      </w:divBdr>
    </w:div>
    <w:div w:id="233392564">
      <w:bodyDiv w:val="1"/>
      <w:marLeft w:val="0"/>
      <w:marRight w:val="0"/>
      <w:marTop w:val="0"/>
      <w:marBottom w:val="0"/>
      <w:divBdr>
        <w:top w:val="none" w:sz="0" w:space="0" w:color="auto"/>
        <w:left w:val="none" w:sz="0" w:space="0" w:color="auto"/>
        <w:bottom w:val="none" w:sz="0" w:space="0" w:color="auto"/>
        <w:right w:val="none" w:sz="0" w:space="0" w:color="auto"/>
      </w:divBdr>
    </w:div>
    <w:div w:id="292101013">
      <w:bodyDiv w:val="1"/>
      <w:marLeft w:val="0"/>
      <w:marRight w:val="0"/>
      <w:marTop w:val="0"/>
      <w:marBottom w:val="0"/>
      <w:divBdr>
        <w:top w:val="none" w:sz="0" w:space="0" w:color="auto"/>
        <w:left w:val="none" w:sz="0" w:space="0" w:color="auto"/>
        <w:bottom w:val="none" w:sz="0" w:space="0" w:color="auto"/>
        <w:right w:val="none" w:sz="0" w:space="0" w:color="auto"/>
      </w:divBdr>
    </w:div>
    <w:div w:id="294337825">
      <w:bodyDiv w:val="1"/>
      <w:marLeft w:val="0"/>
      <w:marRight w:val="0"/>
      <w:marTop w:val="0"/>
      <w:marBottom w:val="0"/>
      <w:divBdr>
        <w:top w:val="none" w:sz="0" w:space="0" w:color="auto"/>
        <w:left w:val="none" w:sz="0" w:space="0" w:color="auto"/>
        <w:bottom w:val="none" w:sz="0" w:space="0" w:color="auto"/>
        <w:right w:val="none" w:sz="0" w:space="0" w:color="auto"/>
      </w:divBdr>
    </w:div>
    <w:div w:id="385222359">
      <w:bodyDiv w:val="1"/>
      <w:marLeft w:val="0"/>
      <w:marRight w:val="0"/>
      <w:marTop w:val="0"/>
      <w:marBottom w:val="0"/>
      <w:divBdr>
        <w:top w:val="none" w:sz="0" w:space="0" w:color="auto"/>
        <w:left w:val="none" w:sz="0" w:space="0" w:color="auto"/>
        <w:bottom w:val="none" w:sz="0" w:space="0" w:color="auto"/>
        <w:right w:val="none" w:sz="0" w:space="0" w:color="auto"/>
      </w:divBdr>
    </w:div>
    <w:div w:id="643507978">
      <w:bodyDiv w:val="1"/>
      <w:marLeft w:val="0"/>
      <w:marRight w:val="0"/>
      <w:marTop w:val="0"/>
      <w:marBottom w:val="0"/>
      <w:divBdr>
        <w:top w:val="none" w:sz="0" w:space="0" w:color="auto"/>
        <w:left w:val="none" w:sz="0" w:space="0" w:color="auto"/>
        <w:bottom w:val="none" w:sz="0" w:space="0" w:color="auto"/>
        <w:right w:val="none" w:sz="0" w:space="0" w:color="auto"/>
      </w:divBdr>
    </w:div>
    <w:div w:id="991443456">
      <w:bodyDiv w:val="1"/>
      <w:marLeft w:val="0"/>
      <w:marRight w:val="0"/>
      <w:marTop w:val="0"/>
      <w:marBottom w:val="0"/>
      <w:divBdr>
        <w:top w:val="none" w:sz="0" w:space="0" w:color="auto"/>
        <w:left w:val="none" w:sz="0" w:space="0" w:color="auto"/>
        <w:bottom w:val="none" w:sz="0" w:space="0" w:color="auto"/>
        <w:right w:val="none" w:sz="0" w:space="0" w:color="auto"/>
      </w:divBdr>
    </w:div>
    <w:div w:id="1030423342">
      <w:bodyDiv w:val="1"/>
      <w:marLeft w:val="0"/>
      <w:marRight w:val="0"/>
      <w:marTop w:val="0"/>
      <w:marBottom w:val="0"/>
      <w:divBdr>
        <w:top w:val="none" w:sz="0" w:space="0" w:color="auto"/>
        <w:left w:val="none" w:sz="0" w:space="0" w:color="auto"/>
        <w:bottom w:val="none" w:sz="0" w:space="0" w:color="auto"/>
        <w:right w:val="none" w:sz="0" w:space="0" w:color="auto"/>
      </w:divBdr>
    </w:div>
    <w:div w:id="1203513485">
      <w:bodyDiv w:val="1"/>
      <w:marLeft w:val="0"/>
      <w:marRight w:val="0"/>
      <w:marTop w:val="0"/>
      <w:marBottom w:val="0"/>
      <w:divBdr>
        <w:top w:val="none" w:sz="0" w:space="0" w:color="auto"/>
        <w:left w:val="none" w:sz="0" w:space="0" w:color="auto"/>
        <w:bottom w:val="none" w:sz="0" w:space="0" w:color="auto"/>
        <w:right w:val="none" w:sz="0" w:space="0" w:color="auto"/>
      </w:divBdr>
    </w:div>
    <w:div w:id="1236165193">
      <w:bodyDiv w:val="1"/>
      <w:marLeft w:val="0"/>
      <w:marRight w:val="0"/>
      <w:marTop w:val="0"/>
      <w:marBottom w:val="0"/>
      <w:divBdr>
        <w:top w:val="none" w:sz="0" w:space="0" w:color="auto"/>
        <w:left w:val="none" w:sz="0" w:space="0" w:color="auto"/>
        <w:bottom w:val="none" w:sz="0" w:space="0" w:color="auto"/>
        <w:right w:val="none" w:sz="0" w:space="0" w:color="auto"/>
      </w:divBdr>
    </w:div>
    <w:div w:id="1279484225">
      <w:bodyDiv w:val="1"/>
      <w:marLeft w:val="0"/>
      <w:marRight w:val="0"/>
      <w:marTop w:val="0"/>
      <w:marBottom w:val="0"/>
      <w:divBdr>
        <w:top w:val="none" w:sz="0" w:space="0" w:color="auto"/>
        <w:left w:val="none" w:sz="0" w:space="0" w:color="auto"/>
        <w:bottom w:val="none" w:sz="0" w:space="0" w:color="auto"/>
        <w:right w:val="none" w:sz="0" w:space="0" w:color="auto"/>
      </w:divBdr>
    </w:div>
    <w:div w:id="1457026437">
      <w:bodyDiv w:val="1"/>
      <w:marLeft w:val="0"/>
      <w:marRight w:val="0"/>
      <w:marTop w:val="0"/>
      <w:marBottom w:val="0"/>
      <w:divBdr>
        <w:top w:val="none" w:sz="0" w:space="0" w:color="auto"/>
        <w:left w:val="none" w:sz="0" w:space="0" w:color="auto"/>
        <w:bottom w:val="none" w:sz="0" w:space="0" w:color="auto"/>
        <w:right w:val="none" w:sz="0" w:space="0" w:color="auto"/>
      </w:divBdr>
    </w:div>
    <w:div w:id="1491752426">
      <w:bodyDiv w:val="1"/>
      <w:marLeft w:val="0"/>
      <w:marRight w:val="0"/>
      <w:marTop w:val="0"/>
      <w:marBottom w:val="0"/>
      <w:divBdr>
        <w:top w:val="none" w:sz="0" w:space="0" w:color="auto"/>
        <w:left w:val="none" w:sz="0" w:space="0" w:color="auto"/>
        <w:bottom w:val="none" w:sz="0" w:space="0" w:color="auto"/>
        <w:right w:val="none" w:sz="0" w:space="0" w:color="auto"/>
      </w:divBdr>
    </w:div>
    <w:div w:id="1596011417">
      <w:bodyDiv w:val="1"/>
      <w:marLeft w:val="0"/>
      <w:marRight w:val="0"/>
      <w:marTop w:val="0"/>
      <w:marBottom w:val="0"/>
      <w:divBdr>
        <w:top w:val="none" w:sz="0" w:space="0" w:color="auto"/>
        <w:left w:val="none" w:sz="0" w:space="0" w:color="auto"/>
        <w:bottom w:val="none" w:sz="0" w:space="0" w:color="auto"/>
        <w:right w:val="none" w:sz="0" w:space="0" w:color="auto"/>
      </w:divBdr>
    </w:div>
    <w:div w:id="1653484191">
      <w:bodyDiv w:val="1"/>
      <w:marLeft w:val="0"/>
      <w:marRight w:val="0"/>
      <w:marTop w:val="0"/>
      <w:marBottom w:val="0"/>
      <w:divBdr>
        <w:top w:val="none" w:sz="0" w:space="0" w:color="auto"/>
        <w:left w:val="none" w:sz="0" w:space="0" w:color="auto"/>
        <w:bottom w:val="none" w:sz="0" w:space="0" w:color="auto"/>
        <w:right w:val="none" w:sz="0" w:space="0" w:color="auto"/>
      </w:divBdr>
    </w:div>
    <w:div w:id="1678776569">
      <w:bodyDiv w:val="1"/>
      <w:marLeft w:val="0"/>
      <w:marRight w:val="0"/>
      <w:marTop w:val="0"/>
      <w:marBottom w:val="0"/>
      <w:divBdr>
        <w:top w:val="none" w:sz="0" w:space="0" w:color="auto"/>
        <w:left w:val="none" w:sz="0" w:space="0" w:color="auto"/>
        <w:bottom w:val="none" w:sz="0" w:space="0" w:color="auto"/>
        <w:right w:val="none" w:sz="0" w:space="0" w:color="auto"/>
      </w:divBdr>
    </w:div>
    <w:div w:id="1744643867">
      <w:bodyDiv w:val="1"/>
      <w:marLeft w:val="0"/>
      <w:marRight w:val="0"/>
      <w:marTop w:val="0"/>
      <w:marBottom w:val="0"/>
      <w:divBdr>
        <w:top w:val="none" w:sz="0" w:space="0" w:color="auto"/>
        <w:left w:val="none" w:sz="0" w:space="0" w:color="auto"/>
        <w:bottom w:val="none" w:sz="0" w:space="0" w:color="auto"/>
        <w:right w:val="none" w:sz="0" w:space="0" w:color="auto"/>
      </w:divBdr>
    </w:div>
    <w:div w:id="1849169712">
      <w:bodyDiv w:val="1"/>
      <w:marLeft w:val="0"/>
      <w:marRight w:val="0"/>
      <w:marTop w:val="0"/>
      <w:marBottom w:val="0"/>
      <w:divBdr>
        <w:top w:val="none" w:sz="0" w:space="0" w:color="auto"/>
        <w:left w:val="none" w:sz="0" w:space="0" w:color="auto"/>
        <w:bottom w:val="none" w:sz="0" w:space="0" w:color="auto"/>
        <w:right w:val="none" w:sz="0" w:space="0" w:color="auto"/>
      </w:divBdr>
    </w:div>
    <w:div w:id="210837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7349C-8E5C-4B26-A993-73F7B9CF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Cohen</dc:creator>
  <cp:keywords/>
  <dc:description/>
  <cp:lastModifiedBy>Aaron Cohen</cp:lastModifiedBy>
  <cp:revision>77</cp:revision>
  <cp:lastPrinted>2025-02-18T04:09:00Z</cp:lastPrinted>
  <dcterms:created xsi:type="dcterms:W3CDTF">2025-02-17T03:56:00Z</dcterms:created>
  <dcterms:modified xsi:type="dcterms:W3CDTF">2025-02-18T04:09:00Z</dcterms:modified>
</cp:coreProperties>
</file>