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 w:line="280" w:lineRule="auto"/>
      </w:pPr>
      <w:r>
        <w:rPr>
          <w:b/>
          <w:color w:val="0B2545"/>
          <w:sz w:val="52"/>
          <w:szCs w:val="52"/>
          <w:rFonts w:ascii="Calibri" w:hAnsi="Calibri" w:cs="Calibri"/>
          <w:lang w:val="ru-RU" w:eastAsia="ru-RU" w:bidi="ru-RU"/>
        </w:rPr>
        <w:t xml:space="preserve">HR Analytics DataLendo</w:t>
      </w:r>
    </w:p>
    <w:p>
      <w:pPr>
        <w:pStyle w:val="Subtitle"/>
        <w:spacing w:after="120" w:line="280" w:lineRule="auto"/>
      </w:pPr>
      <w:r>
        <w:rPr>
          <w:color w:val="475569"/>
          <w:sz w:val="28"/>
          <w:szCs w:val="28"/>
          <w:rFonts w:ascii="Calibri" w:hAnsi="Calibri" w:cs="Calibri"/>
          <w:lang w:val="ru-RU" w:eastAsia="ru-RU" w:bidi="ru-RU"/>
        </w:rPr>
        <w:t xml:space="preserve">Исполнительный аналитический отчет для руководства</w:t>
      </w:r>
    </w:p>
    <w:p>
      <w:pPr>
        <w:spacing w:after="120" w:line="280" w:lineRule="auto"/>
      </w:pPr>
      <w:r>
        <w:rPr>
          <w:color w:val="64748B"/>
          <w:sz w:val="20"/>
          <w:szCs w:val="20"/>
          <w:rFonts w:ascii="Calibri" w:hAnsi="Calibri" w:cs="Calibri"/>
          <w:lang w:val="ru-RU" w:eastAsia="ru-RU" w:bidi="ru-RU"/>
        </w:rPr>
        <w:t xml:space="preserve">Дата анализа: 2026-08-01 | Источник: employes, departements, performances, turnover</w:t>
      </w:r>
    </w:p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Краткий вывод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Компания имеет устойчивую базу сотрудников: 1336 активных из 1500. Основной управленческий риск находится не в общем масштабе увольнений, а в концентрации turnover по отдельным департаментам и в отсутствии свежего цикла performance feedback после 2024 года.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2600"/>
        <w:gridCol w:w="1500"/>
        <w:gridCol w:w="5260"/>
      </w:tblGrid>
      <w:tr>
        <w:tc>
          <w:tcPr>
            <w:tcW w:w="26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Показатель</w:t>
            </w:r>
          </w:p>
        </w:tc>
        <w:tc>
          <w:tcPr>
            <w:tcW w:w="15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Значение</w:t>
            </w:r>
          </w:p>
        </w:tc>
        <w:tc>
          <w:tcPr>
            <w:tcW w:w="526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Интерпретация</w:t>
            </w:r>
          </w:p>
        </w:tc>
      </w:tr>
      <w:tr>
        <w:tc>
          <w:tcPr>
            <w:tcW w:w="2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Активные сотрудники</w:t>
            </w:r>
          </w:p>
        </w:tc>
        <w:tc>
          <w:tcPr>
            <w:tcW w:w="15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1336</w:t>
            </w:r>
          </w:p>
        </w:tc>
        <w:tc>
          <w:tcPr>
            <w:tcW w:w="526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Основа для текущей численности и capacity planning</w:t>
            </w:r>
          </w:p>
        </w:tc>
      </w:tr>
      <w:tr>
        <w:tc>
          <w:tcPr>
            <w:tcW w:w="2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Увольнения за 12 месяцев</w:t>
            </w:r>
          </w:p>
        </w:tc>
        <w:tc>
          <w:tcPr>
            <w:tcW w:w="15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24</w:t>
            </w:r>
          </w:p>
        </w:tc>
        <w:tc>
          <w:tcPr>
            <w:tcW w:w="526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Текущий уровень ухода умеренный, но требует анализа по департаментам</w:t>
            </w:r>
          </w:p>
        </w:tc>
      </w:tr>
      <w:tr>
        <w:tc>
          <w:tcPr>
            <w:tcW w:w="2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Увольнения до даты анализа</w:t>
            </w:r>
          </w:p>
        </w:tc>
        <w:tc>
          <w:tcPr>
            <w:tcW w:w="15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164</w:t>
            </w:r>
          </w:p>
        </w:tc>
        <w:tc>
          <w:tcPr>
            <w:tcW w:w="526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Историческая база для оценки retention</w:t>
            </w:r>
          </w:p>
        </w:tc>
      </w:tr>
      <w:tr>
        <w:tc>
          <w:tcPr>
            <w:tcW w:w="2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Будущие даты увольнений в turnover</w:t>
            </w:r>
          </w:p>
        </w:tc>
        <w:tc>
          <w:tcPr>
            <w:tcW w:w="15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36</w:t>
            </w:r>
          </w:p>
        </w:tc>
        <w:tc>
          <w:tcPr>
            <w:tcW w:w="526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Не включены в текущий turnover; требуют проверки качества данных</w:t>
            </w:r>
          </w:p>
        </w:tc>
      </w:tr>
      <w:tr>
        <w:tc>
          <w:tcPr>
            <w:tcW w:w="2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Последний год оценок</w:t>
            </w:r>
          </w:p>
        </w:tc>
        <w:tc>
          <w:tcPr>
            <w:tcW w:w="15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2024</w:t>
            </w:r>
          </w:p>
        </w:tc>
        <w:tc>
          <w:tcPr>
            <w:tcW w:w="526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Performance-процесс в данных не обновлен на 2026 год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Turnover и зоны риска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Наиболее высокий turnover наблюдается в Direction Générale, Data &amp; Analytics и Juridique. Это приоритетные зоны для управленческого интервью, анализа причин ухода и сравнения компенсаций.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3300"/>
        <w:gridCol w:w="1350"/>
        <w:gridCol w:w="1350"/>
        <w:gridCol w:w="1550"/>
        <w:gridCol w:w="1810"/>
      </w:tblGrid>
      <w:tr>
        <w:tc>
          <w:tcPr>
            <w:tcW w:w="33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Департамент</w:t>
            </w:r>
          </w:p>
        </w:tc>
        <w:tc>
          <w:tcPr>
            <w:tcW w:w="135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Сотрудники</w:t>
            </w:r>
          </w:p>
        </w:tc>
        <w:tc>
          <w:tcPr>
            <w:tcW w:w="135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Активные</w:t>
            </w:r>
          </w:p>
        </w:tc>
        <w:tc>
          <w:tcPr>
            <w:tcW w:w="155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Увольнения</w:t>
            </w:r>
          </w:p>
        </w:tc>
        <w:tc>
          <w:tcPr>
            <w:tcW w:w="181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Turnover %</w:t>
            </w:r>
          </w:p>
        </w:tc>
      </w:tr>
      <w:tr>
        <w:tc>
          <w:tcPr>
            <w:tcW w:w="3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Direction Générale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130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112</w:t>
            </w:r>
          </w:p>
        </w:tc>
        <w:tc>
          <w:tcPr>
            <w:tcW w:w="15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19</w:t>
            </w:r>
          </w:p>
        </w:tc>
        <w:tc>
          <w:tcPr>
            <w:tcW w:w="181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14,62</w:t>
            </w:r>
          </w:p>
        </w:tc>
      </w:tr>
      <w:tr>
        <w:tc>
          <w:tcPr>
            <w:tcW w:w="3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Data &amp; Analytics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152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134</w:t>
            </w:r>
          </w:p>
        </w:tc>
        <w:tc>
          <w:tcPr>
            <w:tcW w:w="15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19</w:t>
            </w:r>
          </w:p>
        </w:tc>
        <w:tc>
          <w:tcPr>
            <w:tcW w:w="181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12,5</w:t>
            </w:r>
          </w:p>
        </w:tc>
      </w:tr>
      <w:tr>
        <w:tc>
          <w:tcPr>
            <w:tcW w:w="3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Juridique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161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141</w:t>
            </w:r>
          </w:p>
        </w:tc>
        <w:tc>
          <w:tcPr>
            <w:tcW w:w="15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</w:t>
            </w:r>
          </w:p>
        </w:tc>
        <w:tc>
          <w:tcPr>
            <w:tcW w:w="181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12,42</w:t>
            </w:r>
          </w:p>
        </w:tc>
      </w:tr>
      <w:tr>
        <w:tc>
          <w:tcPr>
            <w:tcW w:w="3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Opérations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150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129</w:t>
            </w:r>
          </w:p>
        </w:tc>
        <w:tc>
          <w:tcPr>
            <w:tcW w:w="15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18</w:t>
            </w:r>
          </w:p>
        </w:tc>
        <w:tc>
          <w:tcPr>
            <w:tcW w:w="181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12</w:t>
            </w:r>
          </w:p>
        </w:tc>
      </w:tr>
      <w:tr>
        <w:tc>
          <w:tcPr>
            <w:tcW w:w="3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Informatique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159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141</w:t>
            </w:r>
          </w:p>
        </w:tc>
        <w:tc>
          <w:tcPr>
            <w:tcW w:w="15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19</w:t>
            </w:r>
          </w:p>
        </w:tc>
        <w:tc>
          <w:tcPr>
            <w:tcW w:w="181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11,95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Performance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Средние оценки по департаментам близки друг к другу, поэтому управленческий фокус лучше переносить с общего рейтинга на хвост распределения: сотрудников с низкой performance и департаменты, где низкая performance сочетается с turnover.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4300"/>
        <w:gridCol w:w="2300"/>
        <w:gridCol w:w="2760"/>
      </w:tblGrid>
      <w:tr>
        <w:tc>
          <w:tcPr>
            <w:tcW w:w="43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Департамент</w:t>
            </w:r>
          </w:p>
        </w:tc>
        <w:tc>
          <w:tcPr>
            <w:tcW w:w="23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Средний score</w:t>
            </w:r>
          </w:p>
        </w:tc>
        <w:tc>
          <w:tcPr>
            <w:tcW w:w="276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Кол-во оценок</w:t>
            </w:r>
          </w:p>
        </w:tc>
      </w:tr>
      <w:tr>
        <w:tc>
          <w:tcPr>
            <w:tcW w:w="4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Opérations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74,87</w:t>
            </w:r>
          </w:p>
        </w:tc>
        <w:tc>
          <w:tcPr>
            <w:tcW w:w="27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1800</w:t>
            </w:r>
          </w:p>
        </w:tc>
      </w:tr>
      <w:tr>
        <w:tc>
          <w:tcPr>
            <w:tcW w:w="4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Service Client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74,72</w:t>
            </w:r>
          </w:p>
        </w:tc>
        <w:tc>
          <w:tcPr>
            <w:tcW w:w="27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1632</w:t>
            </w:r>
          </w:p>
        </w:tc>
      </w:tr>
      <w:tr>
        <w:tc>
          <w:tcPr>
            <w:tcW w:w="4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Data &amp; Analytics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74,69</w:t>
            </w:r>
          </w:p>
        </w:tc>
        <w:tc>
          <w:tcPr>
            <w:tcW w:w="27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1824</w:t>
            </w:r>
          </w:p>
        </w:tc>
      </w:tr>
      <w:tr>
        <w:tc>
          <w:tcPr>
            <w:tcW w:w="4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Finance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74,59</w:t>
            </w:r>
          </w:p>
        </w:tc>
        <w:tc>
          <w:tcPr>
            <w:tcW w:w="27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1668</w:t>
            </w:r>
          </w:p>
        </w:tc>
      </w:tr>
      <w:tr>
        <w:tc>
          <w:tcPr>
            <w:tcW w:w="43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Ressources Humaines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74,52</w:t>
            </w:r>
          </w:p>
        </w:tc>
        <w:tc>
          <w:tcPr>
            <w:tcW w:w="27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1968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Компенсации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Разброс средней зарплаты между департаментами заметен. Для HR важнее всего сопоставить компенсацию с turnover: департаменты с высокой текучестью и низкой средней зарплатой должны попасть в отдельный compensation review.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3200"/>
        <w:gridCol w:w="1900"/>
        <w:gridCol w:w="1350"/>
        <w:gridCol w:w="1350"/>
        <w:gridCol w:w="1560"/>
      </w:tblGrid>
      <w:tr>
        <w:tc>
          <w:tcPr>
            <w:tcW w:w="32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Департамент</w:t>
            </w:r>
          </w:p>
        </w:tc>
        <w:tc>
          <w:tcPr>
            <w:tcW w:w="19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Средняя зарплата</w:t>
            </w:r>
          </w:p>
        </w:tc>
        <w:tc>
          <w:tcPr>
            <w:tcW w:w="135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Мин.</w:t>
            </w:r>
          </w:p>
        </w:tc>
        <w:tc>
          <w:tcPr>
            <w:tcW w:w="135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Макс.</w:t>
            </w:r>
          </w:p>
        </w:tc>
        <w:tc>
          <w:tcPr>
            <w:tcW w:w="156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Сотрудники</w:t>
            </w:r>
          </w:p>
        </w:tc>
      </w:tr>
      <w:tr>
        <w:tc>
          <w:tcPr>
            <w:tcW w:w="32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Direction Générale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3057,57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811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4980</w:t>
            </w:r>
          </w:p>
        </w:tc>
        <w:tc>
          <w:tcPr>
            <w:tcW w:w="15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130</w:t>
            </w:r>
          </w:p>
        </w:tc>
      </w:tr>
      <w:tr>
        <w:tc>
          <w:tcPr>
            <w:tcW w:w="32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Finance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3052,11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915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4935</w:t>
            </w:r>
          </w:p>
        </w:tc>
        <w:tc>
          <w:tcPr>
            <w:tcW w:w="15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139</w:t>
            </w:r>
          </w:p>
        </w:tc>
      </w:tr>
      <w:tr>
        <w:tc>
          <w:tcPr>
            <w:tcW w:w="32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Service Client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3036,49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843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4938</w:t>
            </w:r>
          </w:p>
        </w:tc>
        <w:tc>
          <w:tcPr>
            <w:tcW w:w="15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136</w:t>
            </w:r>
          </w:p>
        </w:tc>
      </w:tr>
      <w:tr>
        <w:tc>
          <w:tcPr>
            <w:tcW w:w="32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Informatique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2989,18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802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4999</w:t>
            </w:r>
          </w:p>
        </w:tc>
        <w:tc>
          <w:tcPr>
            <w:tcW w:w="15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159</w:t>
            </w:r>
          </w:p>
        </w:tc>
      </w:tr>
      <w:tr>
        <w:tc>
          <w:tcPr>
            <w:tcW w:w="32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Juridique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2951,06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875</w:t>
            </w:r>
          </w:p>
        </w:tc>
        <w:tc>
          <w:tcPr>
            <w:tcW w:w="135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4988</w:t>
            </w:r>
          </w:p>
        </w:tc>
        <w:tc>
          <w:tcPr>
            <w:tcW w:w="15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161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Retention по когортам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Retention наиболее высокая у когорты 2023 года, но это естественно для более новой когорты. Для старших когорт важно смотреть не только процент удержания, но и причины ухода, качество onboarding и карьерные траектории.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1900"/>
        <w:gridCol w:w="1600"/>
        <w:gridCol w:w="1900"/>
        <w:gridCol w:w="1600"/>
        <w:gridCol w:w="2360"/>
      </w:tblGrid>
      <w:tr>
        <w:tc>
          <w:tcPr>
            <w:tcW w:w="19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Когорта</w:t>
            </w:r>
          </w:p>
        </w:tc>
        <w:tc>
          <w:tcPr>
            <w:tcW w:w="16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Наймы</w:t>
            </w:r>
          </w:p>
        </w:tc>
        <w:tc>
          <w:tcPr>
            <w:tcW w:w="19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Активные</w:t>
            </w:r>
          </w:p>
        </w:tc>
        <w:tc>
          <w:tcPr>
            <w:tcW w:w="16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Ушли</w:t>
            </w:r>
          </w:p>
        </w:tc>
        <w:tc>
          <w:tcPr>
            <w:tcW w:w="236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Retention %</w:t>
            </w:r>
          </w:p>
        </w:tc>
      </w:tr>
      <w:tr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2019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280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245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35</w:t>
            </w:r>
          </w:p>
        </w:tc>
        <w:tc>
          <w:tcPr>
            <w:tcW w:w="23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87,5</w:t>
            </w:r>
          </w:p>
        </w:tc>
      </w:tr>
      <w:tr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2020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288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246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42</w:t>
            </w:r>
          </w:p>
        </w:tc>
        <w:tc>
          <w:tcPr>
            <w:tcW w:w="23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85,42</w:t>
            </w:r>
          </w:p>
        </w:tc>
      </w:tr>
      <w:tr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2021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331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296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35</w:t>
            </w:r>
          </w:p>
        </w:tc>
        <w:tc>
          <w:tcPr>
            <w:tcW w:w="23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89,43</w:t>
            </w:r>
          </w:p>
        </w:tc>
      </w:tr>
      <w:tr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2022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317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281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36</w:t>
            </w:r>
          </w:p>
        </w:tc>
        <w:tc>
          <w:tcPr>
            <w:tcW w:w="23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88,64</w:t>
            </w:r>
          </w:p>
        </w:tc>
      </w:tr>
      <w:tr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2023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284</w:t>
            </w:r>
          </w:p>
        </w:tc>
        <w:tc>
          <w:tcPr>
            <w:tcW w:w="19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268</w:t>
            </w:r>
          </w:p>
        </w:tc>
        <w:tc>
          <w:tcPr>
            <w:tcW w:w="16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16</w:t>
            </w:r>
          </w:p>
        </w:tc>
        <w:tc>
          <w:tcPr>
            <w:tcW w:w="23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94,37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Сегментация performance и увольнения</w:t>
      </w:r>
    </w:p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4600"/>
        <w:gridCol w:w="2300"/>
        <w:gridCol w:w="2460"/>
      </w:tblGrid>
      <w:tr>
        <w:tc>
          <w:tcPr>
            <w:tcW w:w="46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Сегмент performance</w:t>
            </w:r>
          </w:p>
        </w:tc>
        <w:tc>
          <w:tcPr>
            <w:tcW w:w="23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Сотрудники</w:t>
            </w:r>
          </w:p>
        </w:tc>
        <w:tc>
          <w:tcPr>
            <w:tcW w:w="246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Доля %</w:t>
            </w:r>
          </w:p>
        </w:tc>
      </w:tr>
      <w:tr>
        <w:tc>
          <w:tcPr>
            <w:tcW w:w="4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Высокая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408</w:t>
            </w:r>
          </w:p>
        </w:tc>
        <w:tc>
          <w:tcPr>
            <w:tcW w:w="24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27,2</w:t>
            </w:r>
          </w:p>
        </w:tc>
      </w:tr>
      <w:tr>
        <w:tc>
          <w:tcPr>
            <w:tcW w:w="4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Низкая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62</w:t>
            </w:r>
          </w:p>
        </w:tc>
        <w:tc>
          <w:tcPr>
            <w:tcW w:w="24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4,13</w:t>
            </w:r>
          </w:p>
        </w:tc>
      </w:tr>
      <w:tr>
        <w:tc>
          <w:tcPr>
            <w:tcW w:w="4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Средняя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1030</w:t>
            </w:r>
          </w:p>
        </w:tc>
        <w:tc>
          <w:tcPr>
            <w:tcW w:w="24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68,67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6" w:color="AAB4C0"/>
          <w:left w:val="single" w:sz="4" w:color="D0D7DE"/>
          <w:bottom w:val="single" w:sz="6" w:color="AAB4C0"/>
          <w:right w:val="single" w:sz="4" w:color="D0D7DE"/>
          <w:insideH w:val="single" w:sz="4" w:color="D0D7DE"/>
          <w:insideV w:val="single" w:sz="4" w:color="E5E7EB"/>
        </w:tblBorders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4600"/>
        <w:gridCol w:w="2300"/>
        <w:gridCol w:w="2460"/>
      </w:tblGrid>
      <w:tr>
        <w:tc>
          <w:tcPr>
            <w:tcW w:w="4600" w:type="dxa"/>
            <w:shd w:fill="E8EEF5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Тип ухода</w:t>
            </w:r>
          </w:p>
        </w:tc>
        <w:tc>
          <w:tcPr>
            <w:tcW w:w="230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Увольнения</w:t>
            </w:r>
          </w:p>
        </w:tc>
        <w:tc>
          <w:tcPr>
            <w:tcW w:w="2460" w:type="dxa"/>
            <w:shd w:fill="E8EEF5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b/>
                <w:color w:val="0B2545"/>
                <w:sz w:val="19"/>
                <w:szCs w:val="19"/>
                <w:rFonts w:ascii="Calibri" w:hAnsi="Calibri" w:cs="Calibri"/>
                <w:lang w:val="ru-RU" w:eastAsia="ru-RU" w:bidi="ru-RU"/>
              </w:rPr>
              <w:t xml:space="preserve">Доля %</w:t>
            </w:r>
          </w:p>
        </w:tc>
      </w:tr>
      <w:tr>
        <w:tc>
          <w:tcPr>
            <w:tcW w:w="4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involontaire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82</w:t>
            </w:r>
          </w:p>
        </w:tc>
        <w:tc>
          <w:tcPr>
            <w:tcW w:w="24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50</w:t>
            </w:r>
          </w:p>
        </w:tc>
      </w:tr>
      <w:tr>
        <w:tc>
          <w:tcPr>
            <w:tcW w:w="4600" w:type="dxa"/>
            <w:vAlign w:val="center"/>
            <w:noWrap w:val="0"/>
          </w:tcPr>
          <w:p>
            <w:pPr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volontaire</w:t>
            </w:r>
          </w:p>
        </w:tc>
        <w:tc>
          <w:tcPr>
            <w:tcW w:w="230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82</w:t>
            </w:r>
          </w:p>
        </w:tc>
        <w:tc>
          <w:tcPr>
            <w:tcW w:w="2460" w:type="dxa"/>
            <w:vAlign w:val="center"/>
            <w:noWrap w:val="0"/>
          </w:tcPr>
          <w:p>
            <w:pPr>
              <w:jc w:val="center"/>
              <w:spacing w:after="40" w:line="260" w:lineRule="auto"/>
            </w:pPr>
            <w:r>
              <w:rPr>
                <w:color w:val="1F2937"/>
                <w:sz w:val="18"/>
                <w:szCs w:val="18"/>
                <w:rFonts w:ascii="Calibri" w:hAnsi="Calibri" w:cs="Calibri"/>
                <w:lang w:val="ru-RU" w:eastAsia="ru-RU" w:bidi="ru-RU"/>
              </w:rPr>
              <w:t xml:space="preserve">50</w:t>
            </w:r>
          </w:p>
        </w:tc>
      </w:tr>
    </w:tbl>
    <w:p>
      <w:pPr>
        <w:pStyle w:val="Heading1"/>
        <w:spacing w:after="120" w:line="280" w:lineRule="auto"/>
      </w:pPr>
      <w:r>
        <w:rPr>
          <w:b/>
          <w:color w:val="2E74B5"/>
          <w:sz w:val="32"/>
          <w:szCs w:val="32"/>
          <w:rFonts w:ascii="Calibri" w:hAnsi="Calibri" w:cs="Calibri"/>
          <w:lang w:val="ru-RU" w:eastAsia="ru-RU" w:bidi="ru-RU"/>
        </w:rPr>
        <w:t xml:space="preserve">Рекомендации руководству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1. Провести targeted retention review в трех департаментах с максимальным turnover: интервью, анализ руководителей, нагрузки и компенсаций.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2. Запустить план развития для сотрудников с низкой performance: 90-дневные цели, регулярный feedback и повторная оценка.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3. Обновить процесс performance review: в данных нет оценок после 2024 года, поэтому текущая управленческая картина неполная.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4. Совместить compensation review с turnover-анализом, особенно для департаментов с высокой текучестью.</w:t>
      </w:r>
    </w:p>
    <w:p>
      <w:pPr>
        <w:spacing w:after="120" w:line="280" w:lineRule="auto"/>
      </w:pPr>
      <w:r>
        <w:rPr>
          <w:color w:val="1F2937"/>
          <w:sz w:val="22"/>
          <w:szCs w:val="22"/>
          <w:rFonts w:ascii="Calibri" w:hAnsi="Calibri" w:cs="Calibri"/>
          <w:lang w:val="ru-RU" w:eastAsia="ru-RU" w:bidi="ru-RU"/>
        </w:rPr>
        <w:t xml:space="preserve">5. Создать ежеквартальный HR dashboard: активная численность, turnover, retention, performance-сегменты, сотрудники без feedback.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pPr>
      <w:spacing w:after="80"/>
    </w:pPr>
    <w:rPr>
      <w:b/>
      <w:rFonts w:ascii="Calibri" w:hAnsi="Calibri" w:cs="Calibri"/>
      <w:sz w:val="52"/>
      <w:color w:val="0B2545"/>
    </w:rPr>
  </w:style>
  <w:style w:type="paragraph" w:styleId="Subtitle">
    <w:name w:val="Subtitle"/>
    <w:pPr>
      <w:spacing w:after="320"/>
    </w:pPr>
    <w:rPr>
      <w:rFonts w:ascii="Calibri" w:hAnsi="Calibri" w:cs="Calibri"/>
      <w:sz w:val="28"/>
      <w:color w:val="475569"/>
    </w:rPr>
  </w:style>
  <w:style w:type="paragraph" w:styleId="Heading1">
    <w:name w:val="heading 1"/>
    <w:pPr>
      <w:spacing w:before="320" w:after="160"/>
    </w:pPr>
    <w:rPr>
      <w:b/>
      <w:rFonts w:ascii="Calibri" w:hAnsi="Calibri" w:cs="Calibri"/>
      <w:sz w:val="32"/>
      <w:color w:val="2E74B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