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0"/>
        </w:rPr>
        <w:t>ШКОЛА ИБС — КОМПЛЕКТ ДЛЯ МЕДПРЕДА</w:t>
      </w:r>
    </w:p>
    <w:p>
      <w:pPr>
        <w:jc w:val="center"/>
      </w:pPr>
      <w:r>
        <w:rPr>
          <w:i/>
          <w:sz w:val="24"/>
        </w:rPr>
        <w:t>Материал для приглашения врачей на образовательное мероприятие</w:t>
      </w:r>
    </w:p>
    <w:p>
      <w:pPr>
        <w:jc w:val="center"/>
      </w:pPr>
      <w:r>
        <w:rPr>
          <w:i/>
          <w:color w:val="555555"/>
          <w:sz w:val="20"/>
        </w:rPr>
        <w:t>17 июня 2026, 15:00–19:00  •  {Город}, {Площадка}  •  Эксперты: Гражданкин И.О., Кашталап В.В.  •  Версия 1.0</w:t>
      </w:r>
    </w:p>
    <w:p/>
    <w:p>
      <w:pPr>
        <w:ind w:left="170" w:right="170"/>
        <w:shd w:val="clear" w:color="auto" w:fill="FFE6E6"/>
      </w:pPr>
      <w:r>
        <w:rPr>
          <w:i/>
          <w:color w:val="A02020"/>
        </w:rPr>
        <w:t>ВНИМАНИЕ. Это документ для ВНУТРЕННЕГО использования медицинскими представителями. Из этого комплекта врачу передаётся только Раздел 1 (анонс) или Раздел 2 (короткое сообщение). Остальные разделы — для подготовки медпреда к разговору.</w:t>
      </w:r>
    </w:p>
    <w:p/>
    <w:p>
      <w:pPr>
        <w:jc w:val="center"/>
        <w:shd w:val="clear" w:color="auto" w:fill="1F3A68"/>
      </w:pPr>
      <w:r>
        <w:rPr>
          <w:b/>
          <w:color w:val="FFFFFF"/>
          <w:sz w:val="26"/>
        </w:rPr>
        <w:t>РАЗДЕЛ 1. Полный анонс для рассылки врачам</w:t>
      </w:r>
    </w:p>
    <w:p>
      <w:pPr>
        <w:ind w:left="170" w:right="170"/>
        <w:shd w:val="clear" w:color="auto" w:fill="FFF3CD"/>
      </w:pPr>
      <w:r>
        <w:rPr>
          <w:i/>
          <w:color w:val="856404"/>
        </w:rPr>
        <w:t>Этот текст можно передавать врачам в email, печатном инвайте, PDF-карточке. Торговые названия НЕ используются — комплаенс-чистый формат для открытых каналов.</w:t>
      </w:r>
    </w:p>
    <w:p/>
    <w:p>
      <w:pPr>
        <w:jc w:val="center"/>
      </w:pPr>
      <w:r>
        <w:rPr>
          <w:b/>
          <w:color w:val="1F3A68"/>
          <w:sz w:val="32"/>
        </w:rPr>
        <w:t>Школа ИБС: 4 часа практической стенокардии — от ПТВ до выбора терапии</w:t>
      </w:r>
    </w:p>
    <w:p>
      <w:r>
        <w:rPr>
          <w:b/>
          <w:i w:val="0"/>
          <w:sz w:val="24"/>
        </w:rPr>
        <w:t>Уважаемые коллеги!</w:t>
      </w:r>
    </w:p>
    <w:p>
      <w:r>
        <w:rPr>
          <w:b w:val="0"/>
          <w:i w:val="0"/>
          <w:sz w:val="22"/>
        </w:rPr>
        <w:t>Приглашаем кардиологов и терапевтов на образовательное мероприятие, посвящённое современной диагностике и терапии стабильной ИБС у пациентов с артериальной гипертензией.</w:t>
      </w:r>
    </w:p>
    <w:p>
      <w:r>
        <w:rPr>
          <w:b w:val="0"/>
          <w:i w:val="0"/>
          <w:sz w:val="22"/>
        </w:rPr>
        <w:t>Школа ИБС построена вокруг сквозного клинического образа — пациента со стенокардией напряжения на фоне АГ, с которым каждый из нас сталкивается ежедневно. От оценки предтестовой вероятности до выбора оптимальной комбинированной терапии — без отвлечений, в одной логической линии.</w:t>
      </w:r>
    </w:p>
    <w:p>
      <w:pPr>
        <w:pStyle w:val="Heading3"/>
      </w:pPr>
      <w:r>
        <w:rPr>
          <w:color w:val="1F3A68"/>
        </w:rPr>
        <w:t>Почему стоит прийти</w:t>
      </w:r>
    </w:p>
    <w:p>
      <w:pPr>
        <w:pStyle w:val="ListBullet"/>
      </w:pPr>
      <w:r>
        <w:t>Два эксперта в живом диалоге. Игорь Олегович Гражданкин ведёт диагностический блок, Василий Васильевич Кашталап — терапевтический. Они не читают по очереди, а спорят между собой в двух интерактивных обсуждениях — так, как это происходит в реальной клинической практике.</w:t>
      </w:r>
    </w:p>
    <w:p>
      <w:pPr>
        <w:pStyle w:val="ListBullet"/>
      </w:pPr>
      <w:r>
        <w:t>4 клинических разбора с голосованиями. От впервые выявленной стенокардии до многососудистого поражения — каждый кейс с развилкой, на которую отвечает аудитория. В том числе grey-zone: нужна ли реваскуляризация при двухсосудистом поражении без вовлечения ствола ЛКА и проксимальной ПНА с объёмом ишемии ниже 10% — типичный «трудный» вопрос ежедневной практики.</w:t>
      </w:r>
    </w:p>
    <w:p>
      <w:pPr>
        <w:pStyle w:val="ListBullet"/>
      </w:pPr>
      <w:r>
        <w:t>Обновлённая рамка гайдлайнов. КР МЗ РФ «Стабильная ИБС» 2024, КР МЗ РФ «АГ у взрослых» 2024, ESC 2024 CCS — с явной маркировкой расхождений и того, что изменилось за последние два года.</w:t>
      </w:r>
    </w:p>
    <w:p>
      <w:pPr>
        <w:pStyle w:val="ListBullet"/>
      </w:pPr>
      <w:r>
        <w:t>Свежие данные по бисопрололу при коморбидностях. ХОБЛ (PACE 2026 — впервые рандомизированное контролируемое исследование 3 фазы у пациентов с ХОБЛ и стабильной ИБС), ХБП и гемодиализ (Wu 2021, n=20 476), СД2 (Maccabi 2025), атеросклероз периферических артерий (COPART 2017).</w:t>
      </w:r>
    </w:p>
    <w:p>
      <w:pPr>
        <w:pStyle w:val="ListBullet"/>
      </w:pPr>
      <w:r>
        <w:t>Адресный фокус. Не «вся кардиология», а конкретно: пациент с АГ + стенокардия. Это самый частый профиль в кабинете кардиолога — и именно здесь чаще всего ошибки в дозировании БАБ и выборе комбинации.</w:t>
      </w:r>
    </w:p>
    <w:p>
      <w:pPr>
        <w:pStyle w:val="Heading3"/>
      </w:pPr>
      <w:r>
        <w:rPr>
          <w:color w:val="1F3A68"/>
        </w:rPr>
        <w:t>Программа дня (краткий обзор)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Блок</w:t>
            </w:r>
          </w:p>
        </w:tc>
      </w:tr>
      <w:tr>
        <w:tc>
          <w:tcPr>
            <w:tcW w:type="dxa" w:w="4320"/>
          </w:tcPr>
          <w:p>
            <w:r>
              <w:t>15:00–15:05</w:t>
            </w:r>
          </w:p>
        </w:tc>
        <w:tc>
          <w:tcPr>
            <w:tcW w:type="dxa" w:w="4320"/>
          </w:tcPr>
          <w:p>
            <w:r>
              <w:t>Открытие</w:t>
            </w:r>
          </w:p>
        </w:tc>
      </w:tr>
      <w:tr>
        <w:tc>
          <w:tcPr>
            <w:tcW w:type="dxa" w:w="4320"/>
          </w:tcPr>
          <w:p>
            <w:r>
              <w:t>15:05–16:55</w:t>
            </w:r>
          </w:p>
        </w:tc>
        <w:tc>
          <w:tcPr>
            <w:tcW w:type="dxa" w:w="4320"/>
          </w:tcPr>
          <w:p>
            <w:r>
              <w:t>Часть 1. Диагностика и стратификация риска ИБС: ПТВ, коронарный кальций, стресс-визуализация, решение о реваскуляризации (с мини-перерывом 10 мин)</w:t>
            </w:r>
          </w:p>
        </w:tc>
      </w:tr>
      <w:tr>
        <w:tc>
          <w:tcPr>
            <w:tcW w:type="dxa" w:w="4320"/>
          </w:tcPr>
          <w:p>
            <w:r>
              <w:t>16:55–17:10</w:t>
            </w:r>
          </w:p>
        </w:tc>
        <w:tc>
          <w:tcPr>
            <w:tcW w:type="dxa" w:w="4320"/>
          </w:tcPr>
          <w:p>
            <w:r>
              <w:t>Кофе-пауза</w:t>
            </w:r>
          </w:p>
        </w:tc>
      </w:tr>
      <w:tr>
        <w:tc>
          <w:tcPr>
            <w:tcW w:type="dxa" w:w="4320"/>
          </w:tcPr>
          <w:p>
            <w:r>
              <w:t>17:10–18:00</w:t>
            </w:r>
          </w:p>
        </w:tc>
        <w:tc>
          <w:tcPr>
            <w:tcW w:type="dxa" w:w="4320"/>
          </w:tcPr>
          <w:p>
            <w:r>
              <w:t>Часть 2. Терапия стабильной ИБС: место бета-адреноблокаторов, целевая доза бисопролола, фиксированные комбинации с амлодипином, бисопролол при коморбидностях</w:t>
            </w:r>
          </w:p>
        </w:tc>
      </w:tr>
      <w:tr>
        <w:tc>
          <w:tcPr>
            <w:tcW w:type="dxa" w:w="4320"/>
          </w:tcPr>
          <w:p>
            <w:r>
              <w:t>18:00–18:05</w:t>
            </w:r>
          </w:p>
        </w:tc>
        <w:tc>
          <w:tcPr>
            <w:tcW w:type="dxa" w:w="4320"/>
          </w:tcPr>
          <w:p>
            <w:r>
              <w:t>Короткая пауза</w:t>
            </w:r>
          </w:p>
        </w:tc>
      </w:tr>
      <w:tr>
        <w:tc>
          <w:tcPr>
            <w:tcW w:type="dxa" w:w="4320"/>
          </w:tcPr>
          <w:p>
            <w:r>
              <w:t>18:05–18:55</w:t>
            </w:r>
          </w:p>
        </w:tc>
        <w:tc>
          <w:tcPr>
            <w:tcW w:type="dxa" w:w="4320"/>
          </w:tcPr>
          <w:p>
            <w:r>
              <w:t>Часть 3. 4 клинических разбора с голосованиями, включая grey-zone по показаниям к ЧКВ</w:t>
            </w:r>
          </w:p>
        </w:tc>
      </w:tr>
      <w:tr>
        <w:tc>
          <w:tcPr>
            <w:tcW w:type="dxa" w:w="4320"/>
          </w:tcPr>
          <w:p>
            <w:r>
              <w:t>18:55–19:00</w:t>
            </w:r>
          </w:p>
        </w:tc>
        <w:tc>
          <w:tcPr>
            <w:tcW w:type="dxa" w:w="4320"/>
          </w:tcPr>
          <w:p>
            <w:r>
              <w:t>Сводное закрытие</w:t>
            </w:r>
          </w:p>
        </w:tc>
      </w:tr>
    </w:tbl>
    <w:p/>
    <w:p>
      <w:pPr>
        <w:pStyle w:val="Heading3"/>
      </w:pPr>
      <w:r>
        <w:rPr>
          <w:color w:val="1F3A68"/>
        </w:rPr>
        <w:t>Что вы заберёте с собой</w:t>
      </w:r>
    </w:p>
    <w:p>
      <w:pPr>
        <w:pStyle w:val="ListBullet"/>
      </w:pPr>
      <w:r>
        <w:t>Чёткий алгоритм: какому пациенту нужен коронарный кальций, какому — стресс-визуализация, какому — сразу КАГ.</w:t>
      </w:r>
    </w:p>
    <w:p>
      <w:pPr>
        <w:pStyle w:val="ListBullet"/>
      </w:pPr>
      <w:r>
        <w:t>Уверенность в дозировании БАБ: целевая доза бисопролола 10 мг — это целевая, а не максимальная, и недотитрование — основная причина «неэффективной терапии».</w:t>
      </w:r>
    </w:p>
    <w:p>
      <w:pPr>
        <w:pStyle w:val="ListBullet"/>
      </w:pPr>
      <w:r>
        <w:t>Правила безопасной отмены БАБ для диагностики ИБС — без потери контроля над пациентом.</w:t>
      </w:r>
    </w:p>
    <w:p>
      <w:pPr>
        <w:pStyle w:val="ListBullet"/>
      </w:pPr>
      <w:r>
        <w:t>Готовый алгоритм действий при пограничных показаниях к реваскуляризации.</w:t>
      </w:r>
    </w:p>
    <w:p>
      <w:pPr>
        <w:pStyle w:val="ListBullet"/>
      </w:pPr>
      <w:r>
        <w:t>Обновлённые позиции по бисопрололу у коморбидных пациентов с ХОБЛ, ХБП, СД2, поражением периферических артерий.</w:t>
      </w:r>
    </w:p>
    <w:p>
      <w:pPr>
        <w:pStyle w:val="Heading3"/>
      </w:pPr>
      <w:r>
        <w:rPr>
          <w:color w:val="1F3A68"/>
        </w:rPr>
        <w:t>Регистрация и контакты</w:t>
      </w:r>
    </w:p>
    <w:p>
      <w:r>
        <w:rPr>
          <w:b/>
          <w:i w:val="0"/>
          <w:sz w:val="22"/>
        </w:rPr>
        <w:t>Дата: 17 июня 2026, 15:00–19:00.</w:t>
      </w:r>
    </w:p>
    <w:p>
      <w:r>
        <w:rPr>
          <w:b/>
          <w:i w:val="0"/>
          <w:sz w:val="22"/>
        </w:rPr>
        <w:t>Место: {Город}, {Площадка}.</w:t>
      </w:r>
    </w:p>
    <w:p>
      <w:r>
        <w:rPr>
          <w:b/>
          <w:i w:val="0"/>
          <w:sz w:val="22"/>
        </w:rPr>
        <w:t>Регистрация: до {Дата регистрации} — у Вашего медицинского представителя {имя представителя, телефон} или по ссылке {ссылка}.</w:t>
      </w:r>
    </w:p>
    <w:p>
      <w:r>
        <w:rPr>
          <w:b/>
          <w:i w:val="0"/>
          <w:color w:val="C0392B"/>
          <w:sz w:val="22"/>
        </w:rPr>
        <w:t>Количество мест ограничено.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РАЗДЕЛ 2. Короткое сообщение для мессенджера (WhatsApp / Telegram)</w:t>
      </w:r>
    </w:p>
    <w:p>
      <w:pPr>
        <w:ind w:left="170" w:right="170"/>
        <w:shd w:val="clear" w:color="auto" w:fill="FFF3CD"/>
      </w:pPr>
      <w:r>
        <w:rPr>
          <w:i/>
          <w:color w:val="856404"/>
        </w:rPr>
        <w:t>Для быстрой рассылки знакомым врачам в личных чатах. ~70 слов.</w:t>
      </w:r>
    </w:p>
    <w:p/>
    <w:p>
      <w:pPr>
        <w:ind w:left="283" w:right="283"/>
        <w:shd w:val="clear" w:color="auto" w:fill="E8F0F8"/>
      </w:pPr>
      <w:r>
        <w:rPr>
          <w:i/>
          <w:sz w:val="22"/>
        </w:rPr>
        <w:t>Уважаемый/ая {Имя Отчество}, приглашаю Вас на Школу ИБС — образовательный вечер для кардиологов 17 июня в {Город}, 15:00–19:00.</w:t>
        <w:br/>
        <w:br/>
        <w:t>Два эксперта в живом диалоге: И.О. Гражданкин (диагностика) и В.В. Кашталап (терапия). 4 клинических кейса с голосованиями, включая разбор «нужна ли реваскуляризация» при двухсосудистом поражении.</w:t>
        <w:br/>
        <w:br/>
        <w:t>Адресный фокус — пациент со стенокардией на фоне АГ. Обновлённая рамка КР МЗ РФ 2024 и ESC 2024 CCS.</w:t>
        <w:br/>
        <w:br/>
        <w:t>Очно, без онлайн-трансляции. Зарегистрировать? Места ограничены.</w:t>
      </w:r>
    </w:p>
    <w:p/>
    <w:p>
      <w:pPr>
        <w:jc w:val="center"/>
        <w:shd w:val="clear" w:color="auto" w:fill="C0392B"/>
      </w:pPr>
      <w:r>
        <w:rPr>
          <w:b/>
          <w:color w:val="FFFFFF"/>
          <w:sz w:val="26"/>
        </w:rPr>
        <w:t>РАЗДЕЛ 3. Спикинг-поинты для живого разговора с врачом</w:t>
      </w:r>
    </w:p>
    <w:p>
      <w:pPr>
        <w:ind w:left="170" w:right="170"/>
        <w:shd w:val="clear" w:color="auto" w:fill="FFF3CD"/>
      </w:pPr>
      <w:r>
        <w:rPr>
          <w:i/>
          <w:color w:val="856404"/>
        </w:rPr>
        <w:t>Эти аргументы — для устной беседы медпреда с врачом. Здесь можно использовать торговое название Конкор АМ, ссылаться на конкретные исследования и говорить о фокусе мероприятия на портфеле.</w:t>
      </w:r>
    </w:p>
    <w:p/>
    <w:p>
      <w:pPr>
        <w:pStyle w:val="Heading3"/>
      </w:pPr>
      <w:r>
        <w:rPr>
          <w:color w:val="1F3A68"/>
        </w:rPr>
        <w:t>Главный «продающий» аргумент</w:t>
      </w:r>
    </w:p>
    <w:p>
      <w:r>
        <w:rPr>
          <w:b w:val="0"/>
          <w:i/>
          <w:sz w:val="22"/>
        </w:rPr>
        <w:t>Если врач спрашивает «а зачем мне идти?»:</w:t>
      </w:r>
    </w:p>
    <w:p>
      <w:pPr>
        <w:ind w:left="283" w:right="283"/>
        <w:shd w:val="clear" w:color="auto" w:fill="E8F0F8"/>
      </w:pPr>
      <w:r>
        <w:rPr>
          <w:i/>
          <w:sz w:val="22"/>
        </w:rPr>
        <w:t>«{Имя Отчество}, это не очередная лекция про гайдлайны — это разбор, как Вы прямо завтра будете вести своего следующего пациента с впервые выявленной стенокардией на фоне гипертонии. С реальными развилками и голосованием — что выбрали Ваши коллеги. Четыре часа — но компактно, после работы.»</w:t>
      </w:r>
    </w:p>
    <w:p>
      <w:pPr>
        <w:pStyle w:val="Heading3"/>
      </w:pPr>
      <w:r>
        <w:rPr>
          <w:color w:val="1F3A68"/>
        </w:rPr>
        <w:t>Шесть ключевых аргументов под разную мотивацию</w:t>
      </w:r>
    </w:p>
    <w:p>
      <w:r>
        <w:rPr>
          <w:b/>
          <w:i w:val="0"/>
          <w:sz w:val="22"/>
        </w:rPr>
        <w:t>1. «Два эксперта будут СПОРИТЬ.»</w:t>
      </w:r>
    </w:p>
    <w:p>
      <w:r>
        <w:rPr>
          <w:b w:val="0"/>
          <w:i/>
          <w:sz w:val="22"/>
        </w:rPr>
        <w:t>Игорь Олегович и Василий Васильевич — диагност и терапевт. На школе будут два интерактива, где Кашталап сам обращается к Гражданкину: «А Вы как это делаете в своей практике?». Получается живая дискуссия, а не два доклада подряд.</w:t>
      </w:r>
    </w:p>
    <w:p>
      <w:r>
        <w:rPr>
          <w:b/>
          <w:i w:val="0"/>
          <w:sz w:val="22"/>
        </w:rPr>
        <w:t>2. «4 клинических кейса с голосованиями.»</w:t>
      </w:r>
    </w:p>
    <w:p>
      <w:r>
        <w:rPr>
          <w:b w:val="0"/>
          <w:i/>
          <w:sz w:val="22"/>
        </w:rPr>
        <w:t>Каждый кейс — это развилка из реальной практики. Например, Кейс 4 — двухсосудистое поражение по КАГ, объём ишемии по ОФЭКТ ниже 10%, ФРК не делали. Реваскуляризировать или нет? Голосуем, а потом разбираем по КР МЗ РФ 2024 и ESC 2024 CCS. Этот вопрос в практике возникает еженедельно, а чёткого ответа врачи обычно не получают на конференциях.</w:t>
      </w:r>
    </w:p>
    <w:p>
      <w:r>
        <w:rPr>
          <w:b/>
          <w:i w:val="0"/>
          <w:sz w:val="22"/>
        </w:rPr>
        <w:t>3. «Целевая доза бисопролола 10 мг — это целевая, а не максимальная.»</w:t>
      </w:r>
    </w:p>
    <w:p>
      <w:r>
        <w:rPr>
          <w:b w:val="0"/>
          <w:i/>
          <w:sz w:val="22"/>
        </w:rPr>
        <w:t>Реальная клиническая практика — систематическое недотитрование БАБ. Кашталап разберёт, как и за сколько недель довести пациента до 10 мг, и когда переходить на Конкор АМ как фиксированную комбинацию. С пошаговой логикой — никаких абстракций.</w:t>
      </w:r>
    </w:p>
    <w:p>
      <w:r>
        <w:rPr>
          <w:b/>
          <w:i w:val="0"/>
          <w:sz w:val="22"/>
        </w:rPr>
        <w:t>4. «Бисопролол при ХОБЛ — больше не противопоказание.»</w:t>
      </w:r>
    </w:p>
    <w:p>
      <w:r>
        <w:rPr>
          <w:b w:val="0"/>
          <w:i/>
          <w:sz w:val="22"/>
        </w:rPr>
        <w:t>PACE 2026 — впервые рандомизированное контролируемое исследование 3 фазы. Бисопролол у пациентов с ХОБЛ и стабильной ИБС — безопасен на горизонте 24 мес. Это меняет тактику для большой группы коморбидных пациентов.</w:t>
      </w:r>
    </w:p>
    <w:p>
      <w:r>
        <w:rPr>
          <w:b/>
          <w:i w:val="0"/>
          <w:sz w:val="22"/>
        </w:rPr>
        <w:t>5. «Безопасная отмена БАБ для диагностики.»</w:t>
      </w:r>
    </w:p>
    <w:p>
      <w:r>
        <w:rPr>
          <w:b w:val="0"/>
          <w:i/>
          <w:sz w:val="22"/>
        </w:rPr>
        <w:t>Кашталап разберёт, как правильно отменять бисопролол перед стресс-тестом — отмена утреннего приёма или за 48 часов? Что делать с амлодипином (период полувыведения 30–50 ч)? Как страховать пациента короткодействующими нитратами. Чек-лист на одной странице.</w:t>
      </w:r>
    </w:p>
    <w:p>
      <w:r>
        <w:rPr>
          <w:b/>
          <w:i w:val="0"/>
          <w:sz w:val="22"/>
        </w:rPr>
        <w:t>6. «Grey-zone реваскуляризации — кейс 4.»</w:t>
      </w:r>
    </w:p>
    <w:p>
      <w:r>
        <w:rPr>
          <w:b w:val="0"/>
          <w:i/>
          <w:sz w:val="22"/>
        </w:rPr>
        <w:t>Пациентка 64 года, ОА + ПКА по 60–65%, объём ишемии 8% по ОФЭКТ. Ставить стент или нет? Разбор по ISCHEMIA, ORBITA, FAME-2. Это самый частый «непонятный» сценарий в практике поликлинического кардиолога — а ответа в учебнике нет.</w:t>
      </w:r>
    </w:p>
    <w:p/>
    <w:p>
      <w:r>
        <w:rPr>
          <w:b/>
          <w:i w:val="0"/>
          <w:sz w:val="22"/>
        </w:rPr>
        <w:t>Дополнительный аргумент-социальное доказательство:</w:t>
      </w:r>
    </w:p>
    <w:p>
      <w:pPr>
        <w:ind w:left="283" w:right="283"/>
        <w:shd w:val="clear" w:color="auto" w:fill="E8F0F8"/>
      </w:pPr>
      <w:r>
        <w:rPr>
          <w:i/>
          <w:sz w:val="22"/>
        </w:rPr>
        <w:t>«Среди приглашённых — около {N} врачей из {Город}, в т.ч. из {2–3 ведущих клиник города}. Регистрация почти закрыта.»</w:t>
      </w:r>
    </w:p>
    <w:p>
      <w:pPr>
        <w:ind w:left="170" w:right="170"/>
        <w:shd w:val="clear" w:color="auto" w:fill="FFE6E6"/>
      </w:pPr>
      <w:r>
        <w:rPr>
          <w:i/>
          <w:color w:val="A02020"/>
        </w:rPr>
        <w:t>Использовать только когда это правда; если врач уточнит — медпред должен мочь назвать имена.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РАЗДЕЛ 4. FAQ — частые вопросы и возражения врача</w:t>
      </w:r>
    </w:p>
    <w:p/>
    <w:p>
      <w:r>
        <w:rPr>
          <w:b/>
          <w:i w:val="0"/>
          <w:color w:val="1F3A68"/>
          <w:sz w:val="22"/>
        </w:rPr>
        <w:t>«Я не успею с работы — это слишком долго.»</w:t>
      </w:r>
    </w:p>
    <w:p>
      <w:r>
        <w:rPr>
          <w:b w:val="0"/>
          <w:i w:val="0"/>
          <w:sz w:val="22"/>
        </w:rPr>
        <w:t>Начало в 15:00 — это уже после большинства поликлинических смен. 4 часа с двумя перерывами и кофе-паузой — реально не утомительно, плюс это очно, в одном зале, никакой логистики. После 19:00 — свободны.</w:t>
      </w:r>
    </w:p>
    <w:p/>
    <w:p>
      <w:r>
        <w:rPr>
          <w:b/>
          <w:i w:val="0"/>
          <w:color w:val="1F3A68"/>
          <w:sz w:val="22"/>
        </w:rPr>
        <w:t>«А это про конкретный препарат? Это просто промо?»</w:t>
      </w:r>
    </w:p>
    <w:p>
      <w:r>
        <w:rPr>
          <w:b w:val="0"/>
          <w:i w:val="0"/>
          <w:sz w:val="22"/>
        </w:rPr>
        <w:t>Нет, это образовательная программа. Первая половина (Гражданкин И.О., 100 минут) — целиком про диагностику ИБС: предтестовая вероятность, коронарный кальций, стресс-визуализация. Никакой терапии. Терапевтическая часть (Кашталап В.В.) — про класс БАБ и обоснование комбинированной терапии при АГ + ИБС, с разбором коморбидностей. Конкор АМ упоминается как одна из возможных фиксированных комбинаций по КР МЗ РФ АГ 2024 — это рекомендации, не реклама.</w:t>
      </w:r>
    </w:p>
    <w:p/>
    <w:p>
      <w:r>
        <w:rPr>
          <w:b/>
          <w:i w:val="0"/>
          <w:color w:val="1F3A68"/>
          <w:sz w:val="22"/>
        </w:rPr>
        <w:t>«У меня нет вопросов по этой теме — я и так всё знаю.»</w:t>
      </w:r>
    </w:p>
    <w:p>
      <w:r>
        <w:rPr>
          <w:b w:val="0"/>
          <w:i w:val="0"/>
          <w:sz w:val="22"/>
        </w:rPr>
        <w:t>Тогда специально для Вас — Кейс 4 (grey-zone реваскуляризации) и блок про ПТВ-категории. В новейших ESC и КР МЗ РФ деление на 3 категории (≤5% / 5–15% / &gt;15%) — заменяет старое деление на 4. По коронарному кальцию — обновлённые «бины» 0/1–99/100–299/≥300 по ACC/AHA 2026. По бисопрололу при ХОБЛ — PACE 2026, опубликовано в Lancet Respiratory Medicine. Если Вы уверены, что владеете всеми этими позициями — буду рад услышать Ваше мнение во время интерактивов.</w:t>
      </w:r>
    </w:p>
    <w:p/>
    <w:p>
      <w:r>
        <w:rPr>
          <w:b/>
          <w:i w:val="0"/>
          <w:color w:val="1F3A68"/>
          <w:sz w:val="22"/>
        </w:rPr>
        <w:t>«Будут ли НМО-баллы?»</w:t>
      </w:r>
    </w:p>
    <w:p>
      <w:r>
        <w:rPr>
          <w:b w:val="0"/>
          <w:i w:val="0"/>
          <w:sz w:val="22"/>
        </w:rPr>
        <w:t>Это мероприятие не аккредитовано Советом по НМО, баллы за участие не начисляются. Программа спроектирована как практический разбор, а не как формальный курс — приходят за обновлением подхода, не за баллами.</w:t>
      </w:r>
    </w:p>
    <w:p/>
    <w:p>
      <w:r>
        <w:rPr>
          <w:b/>
          <w:i w:val="0"/>
          <w:color w:val="1F3A68"/>
          <w:sz w:val="22"/>
        </w:rPr>
        <w:t>«А кейсы — реальные? Не выдуманные?»</w:t>
      </w:r>
    </w:p>
    <w:p>
      <w:r>
        <w:rPr>
          <w:b w:val="0"/>
          <w:i w:val="0"/>
          <w:sz w:val="22"/>
        </w:rPr>
        <w:t>Кейсы построены на реальных профилях пациентов из практики Гражданкина и Кашталапа, обезличены и адаптированы под формат школы. Голосования — анонимные, результаты показываются на экране.</w:t>
      </w:r>
    </w:p>
    <w:p/>
    <w:p>
      <w:r>
        <w:rPr>
          <w:b/>
          <w:i w:val="0"/>
          <w:color w:val="1F3A68"/>
          <w:sz w:val="22"/>
        </w:rPr>
        <w:t>«Можно ли просто прийти послушать без голосования?»</w:t>
      </w:r>
    </w:p>
    <w:p>
      <w:r>
        <w:rPr>
          <w:b w:val="0"/>
          <w:i w:val="0"/>
          <w:sz w:val="22"/>
        </w:rPr>
        <w:t>Конечно. Голосование — добровольное; в зале можно просто наблюдать. Но в опыте организаторов те, кто голосуют, заметно лучше запоминают развилки и аргументы — поэтому стоит попробовать.</w:t>
      </w:r>
    </w:p>
    <w:p/>
    <w:p>
      <w:r>
        <w:rPr>
          <w:b/>
          <w:i w:val="0"/>
          <w:color w:val="1F3A68"/>
          <w:sz w:val="22"/>
        </w:rPr>
        <w:t>«А коллеги будут? Кто ещё придёт?»</w:t>
      </w:r>
    </w:p>
    <w:p>
      <w:r>
        <w:rPr>
          <w:b w:val="0"/>
          <w:i w:val="0"/>
          <w:sz w:val="22"/>
        </w:rPr>
        <w:t>Из {Город} приглашены {примерно сколько} врачей — кардиологи, в т.ч. из {названия клиник}. Будут участники из {других городов региона, если применимо}. Это компактный формат — около {N} человек, чтобы можно было задавать вопросы лично.</w:t>
      </w:r>
    </w:p>
    <w:p/>
    <w:p>
      <w:r>
        <w:rPr>
          <w:b/>
          <w:i w:val="0"/>
          <w:color w:val="1F3A68"/>
          <w:sz w:val="22"/>
        </w:rPr>
        <w:t>«Можно ли получить материалы лекций после мероприятия?»</w:t>
      </w:r>
    </w:p>
    <w:p>
      <w:r>
        <w:rPr>
          <w:b w:val="0"/>
          <w:i w:val="0"/>
          <w:sz w:val="22"/>
        </w:rPr>
        <w:t>После школы участники получают резюме программы со ссылками на ключевые источники (КР МЗ РФ 2024, ESC 2024, разобранные исследования). Слайды экспертов — по согласованию с лекторами.</w:t>
      </w:r>
    </w:p>
    <w:p/>
    <w:p>
      <w:r>
        <w:br w:type="page"/>
      </w:r>
    </w:p>
    <w:p>
      <w:pPr>
        <w:jc w:val="center"/>
        <w:shd w:val="clear" w:color="auto" w:fill="8E44AD"/>
      </w:pPr>
      <w:r>
        <w:rPr>
          <w:b/>
          <w:color w:val="FFFFFF"/>
          <w:sz w:val="26"/>
        </w:rPr>
        <w:t>РАЗДЕЛ 5. Адресация под разные типы врачей</w:t>
      </w:r>
    </w:p>
    <w:p>
      <w:pPr>
        <w:ind w:left="170" w:right="170"/>
        <w:shd w:val="clear" w:color="auto" w:fill="FFF3CD"/>
      </w:pPr>
      <w:r>
        <w:rPr>
          <w:i/>
          <w:color w:val="856404"/>
        </w:rPr>
        <w:t>Подсказка медпреду: подберите акцент под профиль конкретного врача.</w:t>
      </w:r>
    </w:p>
    <w:p/>
    <w:p>
      <w:pPr>
        <w:pStyle w:val="Heading3"/>
      </w:pPr>
      <w:r>
        <w:rPr>
          <w:color w:val="1F3A68"/>
        </w:rPr>
        <w:t>Опытный кардиолог-первичник (стаж &gt;15 лет)</w:t>
      </w:r>
    </w:p>
    <w:p>
      <w:r>
        <w:rPr>
          <w:b/>
          <w:i w:val="0"/>
          <w:sz w:val="22"/>
        </w:rPr>
        <w:t>Главный крючок: обновлённая рамка гайдлайнов и grey-zone развилки.</w:t>
      </w:r>
    </w:p>
    <w:p>
      <w:r>
        <w:rPr>
          <w:b w:val="0"/>
          <w:i/>
          <w:sz w:val="22"/>
        </w:rPr>
        <w:t>Аргументы в порядке приоритета:</w:t>
      </w:r>
    </w:p>
    <w:p>
      <w:pPr>
        <w:pStyle w:val="ListBullet"/>
      </w:pPr>
      <w:r>
        <w:t>Обновлённая ПТВ-таблица КР МЗ РФ 2024 — что изменилось за 10 лет;</w:t>
      </w:r>
    </w:p>
    <w:p>
      <w:pPr>
        <w:pStyle w:val="ListBullet"/>
      </w:pPr>
      <w:r>
        <w:t>Кейс 4 — grey-zone реваскуляризации (этим врачам интересна именно эта зона);</w:t>
      </w:r>
    </w:p>
    <w:p>
      <w:pPr>
        <w:pStyle w:val="ListBullet"/>
      </w:pPr>
      <w:r>
        <w:t>Безопасная отмена БАБ для диагностики — частый практический вопрос.</w:t>
      </w:r>
    </w:p>
    <w:p>
      <w:r>
        <w:rPr>
          <w:b w:val="0"/>
          <w:i/>
          <w:color w:val="A02020"/>
          <w:sz w:val="22"/>
        </w:rPr>
        <w:t>НЕ делайте акцент на: «как титровать БАБ» (он умеет), «что такое ИБС» (база).</w:t>
      </w:r>
    </w:p>
    <w:p>
      <w:pPr>
        <w:pStyle w:val="Heading3"/>
      </w:pPr>
      <w:r>
        <w:rPr>
          <w:color w:val="1F3A68"/>
        </w:rPr>
        <w:t>Молодой кардиолог (стаж &lt;5 лет)</w:t>
      </w:r>
    </w:p>
    <w:p>
      <w:r>
        <w:rPr>
          <w:b/>
          <w:i w:val="0"/>
          <w:sz w:val="22"/>
        </w:rPr>
        <w:t>Главный крючок: алгоритм + кейсы + общение с экспертами.</w:t>
      </w:r>
    </w:p>
    <w:p>
      <w:r>
        <w:rPr>
          <w:b w:val="0"/>
          <w:i/>
          <w:sz w:val="22"/>
        </w:rPr>
        <w:t>Аргументы:</w:t>
      </w:r>
    </w:p>
    <w:p>
      <w:pPr>
        <w:pStyle w:val="ListBullet"/>
      </w:pPr>
      <w:r>
        <w:t>Получить чёткий пошаговый алгоритм диагностики (от ПТВ до выбора метода);</w:t>
      </w:r>
    </w:p>
    <w:p>
      <w:pPr>
        <w:pStyle w:val="ListBullet"/>
      </w:pPr>
      <w:r>
        <w:t>Возможность задать вопросы лично двум профессорам уровня Гражданкина и Кашталапа;</w:t>
      </w:r>
    </w:p>
    <w:p>
      <w:pPr>
        <w:pStyle w:val="ListBullet"/>
      </w:pPr>
      <w:r>
        <w:t>Учиться на разборе клинических кейсов, а не на сухой теории.</w:t>
      </w:r>
    </w:p>
    <w:p>
      <w:r>
        <w:rPr>
          <w:b w:val="0"/>
          <w:i/>
          <w:sz w:val="22"/>
        </w:rPr>
        <w:t>Дополнительно: «Это лучше любого учебника по нашей теме за этот год.»</w:t>
      </w:r>
    </w:p>
    <w:p>
      <w:pPr>
        <w:pStyle w:val="Heading3"/>
      </w:pPr>
      <w:r>
        <w:rPr>
          <w:color w:val="1F3A68"/>
        </w:rPr>
        <w:t>Терапевт с большим потоком АГ-пациентов</w:t>
      </w:r>
    </w:p>
    <w:p>
      <w:r>
        <w:rPr>
          <w:b/>
          <w:i w:val="0"/>
          <w:sz w:val="22"/>
        </w:rPr>
        <w:t>Главный крючок: «не упустить стенокардию» + комбинированная терапия.</w:t>
      </w:r>
    </w:p>
    <w:p>
      <w:r>
        <w:rPr>
          <w:b w:val="0"/>
          <w:i/>
          <w:sz w:val="22"/>
        </w:rPr>
        <w:t>Аргументы:</w:t>
      </w:r>
    </w:p>
    <w:p>
      <w:pPr>
        <w:pStyle w:val="ListBullet"/>
      </w:pPr>
      <w:r>
        <w:t>Как распознать стенокардию у пациента, который пришёл с АГ — атипичная клиника, эквиваленты стенокардии у женщин (одышка вместо боли);</w:t>
      </w:r>
    </w:p>
    <w:p>
      <w:pPr>
        <w:pStyle w:val="ListBullet"/>
      </w:pPr>
      <w:r>
        <w:t>Правила перехода от двойной комбинации (РАС-блокатор + БКК) к тройной (с добавлением БАБ), пошагово;</w:t>
      </w:r>
    </w:p>
    <w:p>
      <w:pPr>
        <w:pStyle w:val="ListBullet"/>
      </w:pPr>
      <w:r>
        <w:t>Когда переводить на фиксированную комбинацию — конкретные критерии.</w:t>
      </w:r>
    </w:p>
    <w:p>
      <w:pPr>
        <w:pStyle w:val="Heading3"/>
      </w:pPr>
      <w:r>
        <w:rPr>
          <w:color w:val="1F3A68"/>
        </w:rPr>
        <w:t>Кардиолог стационара</w:t>
      </w:r>
    </w:p>
    <w:p>
      <w:r>
        <w:rPr>
          <w:b/>
          <w:i w:val="0"/>
          <w:sz w:val="22"/>
        </w:rPr>
        <w:t>Главный крючок: post-ЧКВ-ведение + коморбидности.</w:t>
      </w:r>
    </w:p>
    <w:p>
      <w:r>
        <w:rPr>
          <w:b w:val="0"/>
          <w:i/>
          <w:sz w:val="22"/>
        </w:rPr>
        <w:t>Аргументы:</w:t>
      </w:r>
    </w:p>
    <w:p>
      <w:pPr>
        <w:pStyle w:val="ListBullet"/>
      </w:pPr>
      <w:r>
        <w:t>Кейс 3 — пациент после ЧКВ, нужны ли БАБ при отсутствии ИМ и сохранной ФВ ЛЖ;</w:t>
      </w:r>
    </w:p>
    <w:p>
      <w:pPr>
        <w:pStyle w:val="ListBullet"/>
      </w:pPr>
      <w:r>
        <w:t>Бисопролол при ХОБЛ (PACE 2026), при ХБП и гемодиализе (Wu 2021) — у Вас таких пациентов много;</w:t>
      </w:r>
    </w:p>
    <w:p>
      <w:pPr>
        <w:pStyle w:val="ListBullet"/>
      </w:pPr>
      <w:r>
        <w:t>Дискуссионный пункт «БАБ после успешного ЧКВ» — современная литература разделилась.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РАЗДЕЛ 6. Комплаенс — границы, что НЕ говорить</w:t>
      </w:r>
    </w:p>
    <w:p>
      <w:pPr>
        <w:ind w:left="170" w:right="170"/>
        <w:shd w:val="clear" w:color="auto" w:fill="FFE6E6"/>
      </w:pPr>
      <w:r>
        <w:rPr>
          <w:i/>
          <w:color w:val="A02020"/>
        </w:rPr>
        <w:t>Эти правила обязательны. Нарушение — риск претензии от регулятора и репутационный риск для компании.</w:t>
      </w:r>
    </w:p>
    <w:p/>
    <w:p>
      <w:pPr>
        <w:pStyle w:val="Heading3"/>
      </w:pPr>
      <w:r>
        <w:rPr>
          <w:color w:val="1F3A68"/>
        </w:rPr>
        <w:t>В открытых каналах (email, печатный анонс, общий чат)</w:t>
      </w:r>
    </w:p>
    <w:p>
      <w:pPr>
        <w:pStyle w:val="ListBullet"/>
      </w:pPr>
      <w:r>
        <w:t>НЕ называть торговое название «Конкор АМ» или «Конкор НСТ» — рецептурные препараты нельзя продвигать в общем доступе. Используйте: «фиксированная комбинация бисопролол + амлодипин», «бисопролол как класс».</w:t>
      </w:r>
    </w:p>
    <w:p>
      <w:pPr>
        <w:pStyle w:val="ListBullet"/>
      </w:pPr>
      <w:r>
        <w:t>НЕ обещать клинического эффекта от препарата.</w:t>
      </w:r>
    </w:p>
    <w:p>
      <w:pPr>
        <w:pStyle w:val="ListBullet"/>
      </w:pPr>
      <w:r>
        <w:t>НЕ сравнивать напрямую с конкурирующими брендами («лучше, чем X»).</w:t>
      </w:r>
    </w:p>
    <w:p>
      <w:pPr>
        <w:pStyle w:val="ListBullet"/>
      </w:pPr>
      <w:r>
        <w:t>НЕ использовать формулировки «препарат выбора» / «препарат №1» без ссылки на КР МЗ РФ или другой авторитетный источник.</w:t>
      </w:r>
    </w:p>
    <w:p>
      <w:pPr>
        <w:pStyle w:val="Heading3"/>
      </w:pPr>
      <w:r>
        <w:rPr>
          <w:color w:val="1F3A68"/>
        </w:rPr>
        <w:t>В личном разговоре с врачом — границы шире, но всё же</w:t>
      </w:r>
    </w:p>
    <w:p>
      <w:pPr>
        <w:pStyle w:val="ListBullet"/>
      </w:pPr>
      <w:r>
        <w:t>Можно называть торговое название.</w:t>
      </w:r>
    </w:p>
    <w:p>
      <w:pPr>
        <w:pStyle w:val="ListBullet"/>
      </w:pPr>
      <w:r>
        <w:t>Можно ссылаться на исследования, разобранные в школе (PACE 2026, Wu 2021, Maccabi 2025 и т.д.).</w:t>
      </w:r>
    </w:p>
    <w:p>
      <w:pPr>
        <w:pStyle w:val="ListBullet"/>
      </w:pPr>
      <w:r>
        <w:t>Но: НЕ выдумывать регалии экспертов, НЕ обещать «100% решений по продукту от лекторов», НЕ давать врачам гарантий по баллам НМО, НЕ обещать материалы без согласования с организаторами.</w:t>
      </w:r>
    </w:p>
    <w:p>
      <w:pPr>
        <w:pStyle w:val="Heading3"/>
      </w:pPr>
      <w:r>
        <w:rPr>
          <w:color w:val="1F3A68"/>
        </w:rPr>
        <w:t>Если врач задаёт жёсткий вопрос, на который Вы не знаете ответа</w:t>
      </w:r>
    </w:p>
    <w:p>
      <w:pPr>
        <w:ind w:left="283" w:right="283"/>
        <w:shd w:val="clear" w:color="auto" w:fill="E8F0F8"/>
      </w:pPr>
      <w:r>
        <w:rPr>
          <w:i/>
          <w:sz w:val="22"/>
        </w:rPr>
        <w:t>«Это хороший вопрос, я уточню у организаторов и вернусь к Вам в течение 24 часов.»</w:t>
      </w:r>
    </w:p>
    <w:p>
      <w:r>
        <w:rPr>
          <w:b/>
          <w:i w:val="0"/>
          <w:color w:val="A02020"/>
          <w:sz w:val="22"/>
        </w:rPr>
        <w:t>Лучше промолчать, чем выдумать. Все спорные моменты — на согласование с медотделом.</w:t>
      </w:r>
    </w:p>
    <w:p/>
    <w:p>
      <w:pPr>
        <w:jc w:val="center"/>
        <w:shd w:val="clear" w:color="auto" w:fill="555555"/>
      </w:pPr>
      <w:r>
        <w:rPr>
          <w:b/>
          <w:color w:val="FFFFFF"/>
          <w:sz w:val="26"/>
        </w:rPr>
        <w:t>РАЗДЕЛ 7. Чек-лист медпреда перед визитом / звонком</w:t>
      </w:r>
    </w:p>
    <w:p/>
    <w:p>
      <w:pPr>
        <w:pStyle w:val="ListBullet"/>
      </w:pPr>
      <w:r>
        <w:t>Уточнить, какие именно врачи приглашены в этой клинике (по списку медотдела).</w:t>
      </w:r>
    </w:p>
    <w:p>
      <w:pPr>
        <w:pStyle w:val="ListBullet"/>
      </w:pPr>
      <w:r>
        <w:t>Подготовить персонализированный акцент по Разделу 5 (тип врача).</w:t>
      </w:r>
    </w:p>
    <w:p>
      <w:pPr>
        <w:pStyle w:val="ListBullet"/>
      </w:pPr>
      <w:r>
        <w:t>Иметь под рукой 2–3 ключевые цитаты из исследований (PACE 2026, Wu 2021) на случай вопросов.</w:t>
      </w:r>
    </w:p>
    <w:p>
      <w:pPr>
        <w:pStyle w:val="ListBullet"/>
      </w:pPr>
      <w:r>
        <w:t>Зафиксировать в CRM, кому отправили приглашение и кто подтвердил.</w:t>
      </w:r>
    </w:p>
    <w:p>
      <w:pPr>
        <w:pStyle w:val="ListBullet"/>
      </w:pPr>
      <w:r>
        <w:t>За 3 дня до мероприятия — напомнить о времени и адресе.</w:t>
      </w:r>
    </w:p>
    <w:p>
      <w:pPr>
        <w:pStyle w:val="ListBullet"/>
      </w:pPr>
      <w:r>
        <w:t>В день мероприятия — короткое сообщение «жду Вас сегодня в 15:00».</w:t>
      </w:r>
    </w:p>
    <w:p>
      <w:pPr>
        <w:pStyle w:val="ListBullet"/>
      </w:pPr>
      <w:r>
        <w:t>После мероприятия — короткая follow-up беседа с врачом (в течение недели): что было полезно, остались ли вопросы.</w:t>
      </w:r>
    </w:p>
    <w:p/>
    <w:p>
      <w:r>
        <w:rPr>
          <w:b/>
          <w:i w:val="0"/>
          <w:sz w:val="20"/>
        </w:rPr>
        <w:t>Источники, на которые ссылается анонс:</w:t>
      </w:r>
    </w:p>
    <w:p>
      <w:r>
        <w:rPr>
          <w:b w:val="0"/>
          <w:i/>
          <w:color w:val="808080"/>
          <w:sz w:val="18"/>
        </w:rPr>
        <w:t>КР МЗ РФ «Стабильная ИБС» 2024; КР МЗ РФ «АГ у взрослых» 2024; КР МЗ РФ «Нарушения липидного обмена» 2023; КР МЗ РФ «СД2» 2024; ACC/AHA 2026 Guideline on the Management of Dyslipidemia; ESC 2024 CCS; ESC 2024 Hypertension; ISCHEMIA (NEJM 2020); ORBITA / ORBITA-2; FAME / FAME-2; PACE 2026 (Lancet Respir Med); Wu 2021; Mirault / COPART 2017; Maccabi 2025; Czarnecka 2015; Hostalek 2014 / 2016; Кобалава 2015; Verma 2018; Rea 2018; Selak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