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2"/>
        </w:rPr>
        <w:t>ШКОЛА ИБС</w:t>
      </w:r>
    </w:p>
    <w:p>
      <w:pPr>
        <w:jc w:val="center"/>
      </w:pPr>
      <w:r>
        <w:rPr>
          <w:color w:val="555555"/>
          <w:sz w:val="26"/>
        </w:rPr>
        <w:t>Программа образовательного дня — версия 3.1</w:t>
      </w:r>
    </w:p>
    <w:p>
      <w:pPr>
        <w:jc w:val="center"/>
      </w:pPr>
      <w:r>
        <w:rPr>
          <w:sz w:val="22"/>
        </w:rPr>
        <w:t>Новосибирск  •  17 июня 2026  •  15:00–19:00 (4 часа)</w:t>
        <w:br/>
        <w:t>Аудитория: кардиологи (приоритетно), терапевты</w:t>
        <w:br/>
        <w:t>Эксперты: Гражданкин И.О., Кашталап В.В.</w:t>
      </w:r>
    </w:p>
    <w:p>
      <w:pPr>
        <w:jc w:val="center"/>
      </w:pPr>
      <w:r>
        <w:rPr>
          <w:i/>
          <w:color w:val="555555"/>
          <w:sz w:val="18"/>
        </w:rPr>
        <w:t>Мероприятие проводится при поддержке компании Merck. Информация, предоставляемая лекторами, не обязательно отражает мнение и взгляды компании. (Слайд раскрытия — первый в деке кейсов.)</w:t>
      </w:r>
    </w:p>
    <w:p/>
    <w:p>
      <w:pPr>
        <w:pStyle w:val="Heading2"/>
      </w:pPr>
      <w:r>
        <w:rPr>
          <w:color w:val="1F3B5C"/>
        </w:rPr>
        <w:t>Стратегический фокус дня</w:t>
      </w:r>
    </w:p>
    <w:p>
      <w:r>
        <w:rPr>
          <w:b w:val="0"/>
          <w:i w:val="0"/>
        </w:rPr>
        <w:t>Сквозной клинический образ — стенокардия напряжения на фоне артериальной гипертензии. Часть 1 (диагностика) и Часть 2 (терапия) подводят слушателя к достижению целевой дозы бисопролола 10 мг и обоснованному применению фиксированной комбинации бисопролол + амлодипин (Конкор® АМ); клинические кейсы (Часть 3) интегрируют оба блока.</w:t>
      </w:r>
    </w:p>
    <w:p>
      <w:r>
        <w:rPr>
          <w:b w:val="0"/>
          <w:i/>
          <w:color w:val="555555"/>
        </w:rPr>
        <w:t>Рамка гайдлайнов: основной источник — КР МЗ РФ «Стабильная ИБС» 2024 и «АГ у взрослых» 2024. ESC 2024 CCS привлекается там, где КР РФ не дают позиции или формулировки расходятся, — с явной маркировкой источника.</w:t>
      </w:r>
    </w:p>
    <w:p>
      <w:pPr>
        <w:pStyle w:val="Heading2"/>
      </w:pPr>
      <w:r>
        <w:rPr>
          <w:color w:val="1F3B5C"/>
        </w:rPr>
        <w:t>Сводный хронометраж (240 минут)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Мин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Ведущий</w:t>
            </w:r>
          </w:p>
        </w:tc>
      </w:tr>
      <w:tr>
        <w:tc>
          <w:tcPr>
            <w:tcW w:type="dxa" w:w="1728"/>
          </w:tcPr>
          <w:p>
            <w:r>
              <w:t>15:00–15:05</w:t>
            </w:r>
          </w:p>
        </w:tc>
        <w:tc>
          <w:tcPr>
            <w:tcW w:type="dxa" w:w="1728"/>
          </w:tcPr>
          <w:p>
            <w:r>
              <w:t>Открытие, дисклеймер, цели дня</w:t>
            </w:r>
          </w:p>
        </w:tc>
        <w:tc>
          <w:tcPr>
            <w:tcW w:type="dxa" w:w="1728"/>
          </w:tcPr>
          <w:p>
            <w:r>
              <w:t>вступление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Модератор</w:t>
            </w:r>
          </w:p>
        </w:tc>
      </w:tr>
      <w:tr>
        <w:tc>
          <w:tcPr>
            <w:tcW w:type="dxa" w:w="1728"/>
          </w:tcPr>
          <w:p>
            <w:r>
              <w:t>15:05–15:50</w:t>
            </w:r>
          </w:p>
        </w:tc>
        <w:tc>
          <w:tcPr>
            <w:tcW w:type="dxa" w:w="1728"/>
          </w:tcPr>
          <w:p>
            <w:r>
              <w:t>ЧАСТЬ 1. Диагностика ИБС — лекция, ч.1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15:50–16:00</w:t>
            </w:r>
          </w:p>
        </w:tc>
        <w:tc>
          <w:tcPr>
            <w:tcW w:type="dxa" w:w="1728"/>
          </w:tcPr>
          <w:p>
            <w:r>
              <w:t>Перерыв 1</w:t>
            </w:r>
          </w:p>
        </w:tc>
        <w:tc>
          <w:tcPr>
            <w:tcW w:type="dxa" w:w="1728"/>
          </w:tcPr>
          <w:p>
            <w:r>
              <w:t>перерыв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16:00–16:45</w:t>
            </w:r>
          </w:p>
        </w:tc>
        <w:tc>
          <w:tcPr>
            <w:tcW w:type="dxa" w:w="1728"/>
          </w:tcPr>
          <w:p>
            <w:r>
              <w:t>ЧАСТЬ 1. Диагностика ИБС — лекция, ч.2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16:45–17:15</w:t>
            </w:r>
          </w:p>
        </w:tc>
        <w:tc>
          <w:tcPr>
            <w:tcW w:type="dxa" w:w="1728"/>
          </w:tcPr>
          <w:p>
            <w:r>
              <w:t>Вопросы — ответы / дискуссия</w:t>
            </w:r>
          </w:p>
        </w:tc>
        <w:tc>
          <w:tcPr>
            <w:tcW w:type="dxa" w:w="1728"/>
          </w:tcPr>
          <w:p>
            <w:r>
              <w:t>дискуссия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17:15–17:20</w:t>
            </w:r>
          </w:p>
        </w:tc>
        <w:tc>
          <w:tcPr>
            <w:tcW w:type="dxa" w:w="1728"/>
          </w:tcPr>
          <w:p>
            <w:r>
              <w:t>Перерыв 2 (смена спикера)</w:t>
            </w:r>
          </w:p>
        </w:tc>
        <w:tc>
          <w:tcPr>
            <w:tcW w:type="dxa" w:w="1728"/>
          </w:tcPr>
          <w:p>
            <w:r>
              <w:t>перерыв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17:20–18:10</w:t>
            </w:r>
          </w:p>
        </w:tc>
        <w:tc>
          <w:tcPr>
            <w:tcW w:type="dxa" w:w="1728"/>
          </w:tcPr>
          <w:p>
            <w:r>
              <w:t>ЧАСТЬ 2. Терапия: бисопролол и Конкор® АМ (+2 интерактива)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Кашталап В.В.</w:t>
            </w:r>
          </w:p>
        </w:tc>
      </w:tr>
      <w:tr>
        <w:tc>
          <w:tcPr>
            <w:tcW w:type="dxa" w:w="1728"/>
          </w:tcPr>
          <w:p>
            <w:r>
              <w:t>18:10–19:00</w:t>
            </w:r>
          </w:p>
        </w:tc>
        <w:tc>
          <w:tcPr>
            <w:tcW w:type="dxa" w:w="1728"/>
          </w:tcPr>
          <w:p>
            <w:r>
              <w:t>ЧАСТЬ 3. Клинические кейсы (4 кейса, голосования)</w:t>
            </w:r>
          </w:p>
        </w:tc>
        <w:tc>
          <w:tcPr>
            <w:tcW w:type="dxa" w:w="1728"/>
          </w:tcPr>
          <w:p>
            <w:r>
              <w:t>интерактив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Кашталап В.В. + Гражданкин И.О.</w:t>
            </w:r>
          </w:p>
        </w:tc>
      </w:tr>
    </w:tbl>
    <w:p>
      <w:r>
        <w:rPr>
          <w:b w:val="0"/>
          <w:i/>
          <w:color w:val="555555"/>
        </w:rPr>
        <w:t>Итого: 5 + 45 + 10 + 45 + 30 + 5 + 50 + 50 = 240 минут.</w:t>
      </w:r>
    </w:p>
    <w:p>
      <w:r>
        <w:rPr>
          <w:b w:val="0"/>
          <w:i/>
          <w:color w:val="555555"/>
        </w:rPr>
        <w:t>Две короткие паузы (10 + 5 мин) разбивают день: 90-минутная лекция Гражданкина И.О. идёт двумя частями по 45 мин, а вторая пауза на смене спикера убирает длинный беспрерывный прогон. Отдельный Q&amp;A Кашталапа В.В. не выделяется — его обсуждения реализуются в двух интерактивах внутри лекции и в со-модерации кейсов.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1. Диагностика и стратификация риска ИБС</w:t>
      </w:r>
    </w:p>
    <w:p>
      <w:r>
        <w:rPr>
          <w:b/>
          <w:i w:val="0"/>
        </w:rPr>
        <w:t>Лектор: Гражданкин И.О.  •  90 мин лекции (две части по 45 мин с перерывом) + 30 мин вопросов-ответов.</w:t>
      </w:r>
    </w:p>
    <w:p>
      <w:r>
        <w:rPr>
          <w:b w:val="0"/>
          <w:i w:val="0"/>
        </w:rPr>
        <w:t>Цель блока: выстроить единый алгоритм «предтестовая вероятность → выбор метода обследования → решение об ОМТ или реваскуляризации».</w:t>
      </w:r>
    </w:p>
    <w:p>
      <w:r>
        <w:rPr>
          <w:b/>
          <w:i w:val="0"/>
        </w:rPr>
        <w:t>Логика изложения (по ходу деки, 63 слайда):</w:t>
      </w:r>
    </w:p>
    <w:p>
      <w:r>
        <w:rPr>
          <w:b/>
          <w:i w:val="0"/>
          <w:color w:val="555555"/>
        </w:rPr>
        <w:t>Часть 1A (15:05–15:50) — концепция, методы, клиника:</w:t>
      </w:r>
    </w:p>
    <w:p>
      <w:pPr>
        <w:pStyle w:val="ListBullet"/>
      </w:pPr>
      <w:r>
        <w:rPr>
          <w:b/>
        </w:rPr>
        <w:t xml:space="preserve">1) Что такое ИБС/ХКС. </w:t>
      </w:r>
      <w:r>
        <w:t>определение и формы ИБС / ХКС; общие положения по стабильному атеросклерозу; когда реваскуляризация для симптомов, а когда для прогноза; поражение ствола ЛКА.</w:t>
      </w:r>
    </w:p>
    <w:p>
      <w:pPr>
        <w:pStyle w:val="ListBullet"/>
      </w:pPr>
      <w:r>
        <w:rPr>
          <w:b/>
        </w:rPr>
        <w:t xml:space="preserve">2) «Бляшка или ишемия». </w:t>
      </w:r>
      <w:r>
        <w:t>бремя атеросклероза, а не отдельный стеноз, — главный предиктор событий. Сквозная идея дня.</w:t>
      </w:r>
    </w:p>
    <w:p>
      <w:pPr>
        <w:pStyle w:val="ListBullet"/>
      </w:pPr>
      <w:r>
        <w:rPr>
          <w:b/>
        </w:rPr>
        <w:t xml:space="preserve">3) Методы диагностики. </w:t>
      </w:r>
      <w:r>
        <w:t>обзор методов диагностики ишемии; МСКТ-КГ и инвазивная КГ как «золотой стандарт» анатомии; первичная тактика.</w:t>
      </w:r>
    </w:p>
    <w:p>
      <w:pPr>
        <w:pStyle w:val="ListBullet"/>
      </w:pPr>
      <w:r>
        <w:rPr>
          <w:b/>
        </w:rPr>
        <w:t xml:space="preserve">4) Коронарный кальций (CAC). </w:t>
      </w:r>
      <w:r>
        <w:t>основы, кому показан, роль в оценке риска и реклассификации липидной терапии.</w:t>
      </w:r>
    </w:p>
    <w:p>
      <w:pPr>
        <w:pStyle w:val="ListBullet"/>
      </w:pPr>
      <w:r>
        <w:rPr>
          <w:b/>
        </w:rPr>
        <w:t xml:space="preserve">5) Клиника. </w:t>
      </w:r>
      <w:r>
        <w:t>стенокардия и её функциональные классы; 5 детерминант постановки диагноза в практике.</w:t>
      </w:r>
    </w:p>
    <w:p>
      <w:r>
        <w:rPr>
          <w:b w:val="0"/>
          <w:i/>
          <w:color w:val="555555"/>
        </w:rPr>
        <w:t>Перерыв 1 (15:50–16:00) — естественный стык ~слайд 30–32 (после блока «клиника / 5 детерминант», перед таблицами предтестовой вероятности).</w:t>
      </w:r>
    </w:p>
    <w:p>
      <w:r>
        <w:rPr>
          <w:b/>
          <w:i w:val="0"/>
          <w:color w:val="555555"/>
        </w:rPr>
        <w:t>Часть 1B (16:00–16:45) — ПТВ, нагрузочные методы, решение:</w:t>
      </w:r>
    </w:p>
    <w:p>
      <w:pPr>
        <w:pStyle w:val="ListBullet"/>
      </w:pPr>
      <w:r>
        <w:rPr>
          <w:b/>
        </w:rPr>
        <w:t xml:space="preserve">6) Предтестовая вероятность (ПТВ). </w:t>
      </w:r>
      <w:r>
        <w:t>суть и зачем; таблицы РКО 2024; эволюция от ESC 2013 (отказ от 4-категорийной схемы); диапазоны клинической вероятности для подтверждения (rule-in) и исключения (rule-out) обструкции.</w:t>
      </w:r>
    </w:p>
    <w:p>
      <w:pPr>
        <w:pStyle w:val="ListBullet"/>
      </w:pPr>
      <w:r>
        <w:rPr>
          <w:b/>
        </w:rPr>
        <w:t xml:space="preserve">7) Нагрузочные и визуализирующие методы. </w:t>
      </w:r>
      <w:r>
        <w:t>физиология стресс-тестов; критерии высокого риска и критерии риска ССО (Таблица ПА3-4 КР МЗ РФ); стресс-ЭхоКГ / стресс-ОФЭКТ / стресс-МРТ; КТ-коронарография; ФРК.</w:t>
      </w:r>
    </w:p>
    <w:p>
      <w:pPr>
        <w:pStyle w:val="ListBullet"/>
      </w:pPr>
      <w:r>
        <w:rPr>
          <w:b/>
        </w:rPr>
        <w:t xml:space="preserve">8) Заключение. </w:t>
      </w:r>
      <w:r>
        <w:t>интеграция «ПТВ → метод → решение об ОМТ или реваскуляризации».</w:t>
      </w:r>
    </w:p>
    <w:p>
      <w:pPr>
        <w:pStyle w:val="Heading2"/>
      </w:pPr>
      <w:r>
        <w:rPr>
          <w:color w:val="1F3B5C"/>
        </w:rPr>
        <w:t>Вопросы — ответы / дискуссия после Части 1 (30 мин) — опорные точки</w:t>
      </w:r>
    </w:p>
    <w:p>
      <w:r>
        <w:rPr>
          <w:b/>
          <w:i w:val="0"/>
        </w:rPr>
        <w:t>Обязательно к обсуждению:</w:t>
      </w:r>
    </w:p>
    <w:p>
      <w:pPr>
        <w:pStyle w:val="ListBullet"/>
      </w:pPr>
      <w:r>
        <w:t>Расхождение КР МЗ РФ vs ESC 2024 (RF-CL) в оценке ПТВ: разные пороги (≤5 / 5–15 / &gt;15 %), что брать за основу в рутине; как трактовать группу «одышка как основной/единственный эквивалент».</w:t>
      </w:r>
    </w:p>
    <w:p>
      <w:pPr>
        <w:pStyle w:val="ListBullet"/>
      </w:pPr>
      <w:r>
        <w:t>Коронарный кальций: кому реально назначать; «сила нуля» (CAC = 0) как мощный rule-out; CAC как фильтр-этап перед стресс-визуализацией и как триггер реклассификации целевого ХС-ЛНП.</w:t>
      </w:r>
    </w:p>
    <w:p>
      <w:pPr>
        <w:pStyle w:val="ListBullet"/>
      </w:pPr>
      <w:r>
        <w:t>Выбор метода под задачу: МСКТ-КГ сильнее «исключает», стресс-методы сильнее «подтверждают». Реальная доступность ОФЭКТ / стресс-ЭхоКГ / МСКТ-КГ в регионе.</w:t>
      </w:r>
    </w:p>
    <w:p>
      <w:r>
        <w:rPr>
          <w:b/>
          <w:i w:val="0"/>
          <w:color w:val="555555"/>
        </w:rPr>
        <w:t>Предложения от себя (кардиолог):</w:t>
      </w:r>
    </w:p>
    <w:p>
      <w:pPr>
        <w:pStyle w:val="ListBullet"/>
      </w:pPr>
      <w:r>
        <w:t>Что означает «высокий риск по визуализации» для маршрутизации: это сигнал к стратификации, а НЕ автоматическое показание к инвазии. Нюанс КР МЗ РФ: стресс-ЭхоКГ (по числу сегментов) не входит в перечень показаний к реваскуляризации — прогностический функциональный критерий там «&gt;10 % площади ЛЖ» (перфузия) или значимый ФРК/МРК. Прямой мост к Кейсам 2–4.</w:t>
      </w:r>
    </w:p>
    <w:p>
      <w:pPr>
        <w:pStyle w:val="ListBullet"/>
      </w:pPr>
      <w:r>
        <w:t>Положительная нагрузочная ЭКГ ≠ верифицированная обструктивная ИБС (ловушка разворачивается в Кейсе 3).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2. Терапия ИБС: бисопролол и Конкор® АМ</w:t>
      </w:r>
    </w:p>
    <w:p>
      <w:r>
        <w:rPr>
          <w:b/>
          <w:i w:val="0"/>
        </w:rPr>
        <w:t>Лектор: Кашталап В.В.  •  50 мин лекции с двумя интерактивными обсуждениями с Гражданкиным И.О. (отдельный блок вопросов-ответов не выделяется — дискуссия реализуется в интерактивах и в кейсах).</w:t>
      </w:r>
    </w:p>
    <w:p>
      <w:r>
        <w:rPr>
          <w:b w:val="0"/>
          <w:i w:val="0"/>
        </w:rPr>
        <w:t>Цель блока: обосновать выбор бисопролола, целевую дозу 10 мг и переход к фиксированной комбинации с амлодипином; разобрать безопасность при коморбидностях.</w:t>
      </w:r>
    </w:p>
    <w:p>
      <w:r>
        <w:rPr>
          <w:b/>
          <w:i w:val="0"/>
        </w:rPr>
        <w:t>Логика изложения (по ходу деки, 70 слайдов):</w:t>
      </w:r>
    </w:p>
    <w:p>
      <w:pPr>
        <w:pStyle w:val="ListBullet"/>
      </w:pPr>
      <w:r>
        <w:rPr>
          <w:b/>
        </w:rPr>
        <w:t xml:space="preserve">1) С чего начинать. </w:t>
      </w:r>
      <w:r>
        <w:t>механизмы ишемии; ESC 2024 — выбор антиишемической терапии по клиническому профилю, а не по жёсткой ступени.</w:t>
      </w:r>
    </w:p>
    <w:p>
      <w:pPr>
        <w:pStyle w:val="ListBullet"/>
      </w:pPr>
      <w:r>
        <w:rPr>
          <w:b/>
        </w:rPr>
        <w:t xml:space="preserve">2) Комбинация выбора. </w:t>
      </w:r>
      <w:r>
        <w:t>β-блокатор + дигидропиридиновый БКК — комбинация выбора (мета-анализ 90 РКИ); прямая рекомендация ФК при ХКС.</w:t>
      </w:r>
    </w:p>
    <w:p>
      <w:pPr>
        <w:pStyle w:val="ListBullet"/>
      </w:pPr>
      <w:r>
        <w:rPr>
          <w:b/>
        </w:rPr>
        <w:t xml:space="preserve">3) Бисопролол как молекула. </w:t>
      </w:r>
      <w:r>
        <w:t>β1-селективность, амфофильность, преимущества, место в классе.</w:t>
      </w:r>
    </w:p>
    <w:p>
      <w:pPr>
        <w:pStyle w:val="ListBullet"/>
      </w:pPr>
      <w:r>
        <w:rPr>
          <w:b/>
        </w:rPr>
        <w:t xml:space="preserve">4) Оптимальная медикаментозная терапия. </w:t>
      </w:r>
      <w:r>
        <w:t>ОМТ сегодня; β-блокаторы при стабильной ИБС без СН/недавнего ИМ снижают композитный риск; комплементарная сосудистая защита бисопролол + амлодипин.</w:t>
      </w:r>
    </w:p>
    <w:p>
      <w:pPr>
        <w:pStyle w:val="ListBullet"/>
      </w:pPr>
      <w:r>
        <w:rPr>
          <w:b/>
        </w:rPr>
        <w:t xml:space="preserve">5) ОМТ в эпоху реваскуляризации. </w:t>
      </w:r>
      <w:r>
        <w:t>ISCHEMIA (2020) и ORBITA (2018); решение о реваскуляризации — по анатомии, объёму ишемии и симптомам.</w:t>
      </w:r>
    </w:p>
    <w:p>
      <w:pPr>
        <w:pStyle w:val="ListBullet"/>
      </w:pPr>
      <w:r>
        <w:rPr>
          <w:b/>
        </w:rPr>
        <w:t xml:space="preserve">6) Конкор® АМ и приверженность. </w:t>
      </w:r>
      <w:r>
        <w:t>данные по ФК и приверженности; «контроль vs иллюзия контроля» при раздельной терапии; портрет пациента для FDC; развенчание мифа о вечернем приёме антигипертензивных.</w:t>
      </w:r>
    </w:p>
    <w:p>
      <w:pPr>
        <w:pStyle w:val="ListBullet"/>
      </w:pPr>
      <w:r>
        <w:rPr>
          <w:b/>
        </w:rPr>
        <w:t xml:space="preserve">7) Ишемия без обструкции. </w:t>
      </w:r>
      <w:r>
        <w:t>ANOCA/INOCA — ишемия без обструкции: микрососудистый эндотип, бисопролол + амлодипин как связка.</w:t>
      </w:r>
    </w:p>
    <w:p>
      <w:pPr>
        <w:pStyle w:val="ListBullet"/>
      </w:pPr>
      <w:r>
        <w:rPr>
          <w:b/>
        </w:rPr>
        <w:t xml:space="preserve">8) Безопасность при коморбидностях. </w:t>
      </w:r>
      <w:r>
        <w:t>безопасность бисопролола как основа безопасности Конкор® АМ — PAD, ХОБЛ, ХСН, ХБП, гемодиализ.</w:t>
      </w:r>
    </w:p>
    <w:p>
      <w:r>
        <w:rPr>
          <w:b/>
          <w:i w:val="0"/>
        </w:rPr>
        <w:t>Встроенные интерактивы (инициирует Кашталап В.В., обращаясь к Гражданкину И.О.):</w:t>
      </w:r>
    </w:p>
    <w:p>
      <w:pPr>
        <w:pStyle w:val="ListBullet"/>
      </w:pPr>
      <w:r>
        <w:rPr>
          <w:b/>
        </w:rPr>
        <w:t xml:space="preserve">Интерактив 1. </w:t>
      </w:r>
      <w:r>
        <w:t>Приём препаратов при нагрузочных пробах — отменять ли β-блокатор перед пробой и чем подстраховать пациента (первичная диагностика vs оценка остаточной ишемии на терапии).</w:t>
      </w:r>
    </w:p>
    <w:p>
      <w:pPr>
        <w:pStyle w:val="ListBullet"/>
      </w:pPr>
      <w:r>
        <w:rPr>
          <w:b/>
        </w:rPr>
        <w:t xml:space="preserve">Интерактив 2. </w:t>
      </w:r>
      <w:r>
        <w:t>Безопасность бисопролола как основа безопасности Конкор® АМ — практический разбор коморбидностей (ХОБЛ, PAD, ХСН, ХБП/гемодиализ).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3. Клинические кейсы</w:t>
      </w:r>
    </w:p>
    <w:p>
      <w:r>
        <w:rPr>
          <w:b/>
          <w:i w:val="0"/>
        </w:rPr>
        <w:t>Модераторы: Кашталап В.В. + Гражданкин И.О.  •  50 мин: 4 кейса с голосованиями аудитории (~12–13 мин на кейс: завязка → голосование → разбор → 2-е голосование/развязка).</w:t>
      </w:r>
    </w:p>
    <w:p>
      <w:r>
        <w:rPr>
          <w:b w:val="0"/>
          <w:i w:val="0"/>
        </w:rPr>
        <w:t>Каждый кейс интегрирует диагностику (Часть 1) и терапию (Часть 2) и заканчивается развилкой принятия решения.</w:t>
      </w:r>
    </w:p>
    <w:p>
      <w:pPr>
        <w:pStyle w:val="ListBullet"/>
      </w:pPr>
      <w:r>
        <w:rPr>
          <w:b/>
        </w:rPr>
        <w:t xml:space="preserve">Кейс 1. </w:t>
      </w:r>
      <w:r>
        <w:t>Мужчина 58 лет, АГ → впервые стенокардия. ПТВ → стресс-ЭхоКГ (2 сегмента, умеренный риск) → ОМТ как первая стратегия → пошаговый переход на Конкор® АМ.</w:t>
      </w:r>
    </w:p>
    <w:p>
      <w:pPr>
        <w:pStyle w:val="ListBullet"/>
      </w:pPr>
      <w:r>
        <w:rPr>
          <w:b/>
        </w:rPr>
        <w:t xml:space="preserve">Кейс 2. </w:t>
      </w:r>
      <w:r>
        <w:t>Женщина 64 года, СД2, одышка как эквивалент, ФК III. Низкая ПТВ → коронарный кальций как фильтр (CAC = 302) → стресс-ЭхоКГ (3 сегмента, высокий риск) → тем не менее ОМТ-first (логика ISCHEMIA; ФВ сохранна, ствол ЛКА чист), КАГ при недостижении целей ОМТ. Дидактический нерв: высокий риск ≠ автоматическая инвазия.</w:t>
      </w:r>
    </w:p>
    <w:p>
      <w:pPr>
        <w:pStyle w:val="ListBullet"/>
      </w:pPr>
      <w:r>
        <w:rPr>
          <w:b/>
        </w:rPr>
        <w:t xml:space="preserve">Кейс 3. </w:t>
      </w:r>
      <w:r>
        <w:t>Мужчина 62 года, ХОБЛ; диагноз год назад только по нагрузочной ЭКГ. Переоценка → выбор метода → стресс-ЭхоКГ на фоне β-блокатора (4 сегмента, высокий риск) → эскалация ОМТ + КАГ/ФРК (0,68) → ЧКВ; безопасность бисопролола при ХОБЛ.</w:t>
      </w:r>
    </w:p>
    <w:p>
      <w:pPr>
        <w:pStyle w:val="ListBullet"/>
      </w:pPr>
      <w:r>
        <w:rPr>
          <w:b/>
        </w:rPr>
        <w:t xml:space="preserve">Кейс 4. </w:t>
      </w:r>
      <w:r>
        <w:t>Женщина 64 года, «серая зона» реваскуляризации: двухсосудистое без ствола ЛКА/проксимальной ПНА, ишемия ≈8 % по ОФЭКТ, ФРК не выполнялся. «Стеноз ≠ показание» → интенсификация ОМТ (бисопролол 5→10, ЧСС→60) → симптомы ушли → стент не нужен → переход на Конкор® АМ.</w:t>
      </w:r>
    </w:p>
    <w:p>
      <w:pPr>
        <w:pStyle w:val="Heading2"/>
      </w:pPr>
      <w:r>
        <w:rPr>
          <w:color w:val="1F3B5C"/>
        </w:rPr>
        <w:t>Центральный спор дня (обязательно развернуть на кейсах)</w:t>
      </w:r>
    </w:p>
    <w:p>
      <w:r>
        <w:rPr>
          <w:b w:val="0"/>
          <w:i/>
        </w:rPr>
        <w:t>Высокий риск ишемии по визуализации → инвазия или ОМТ-first? Сопоставить ISCHEMIA (инвазивная стратегия не превосходит ОМТ при сохранной ФВ и без поражения ствола ЛКА) и КР МЗ РФ; подчеркнуть, что стресс-ЭхоКГ (по сегментам) не входит в прогностические показания к реваскуляризации по КР МЗ РФ (там — «&gt;10 % площади ЛЖ» по перфузии или значимый ФРК/МРК). Вывод: «стеноз ≠ показание»; маршрутизацию определяют объём ишемии, анатомия и симптомы на фоне оптимальной ОМТ. Глубокий клинч КР РФ vs ESC по порогу ишемии для данной аудитории намеренно не разворачиваем.</w:t>
      </w:r>
    </w:p>
    <w:p>
      <w:pPr>
        <w:pStyle w:val="Heading2"/>
      </w:pPr>
      <w:r>
        <w:rPr>
          <w:color w:val="1F3B5C"/>
        </w:rPr>
        <w:t>Сквозной вывод дня</w:t>
      </w:r>
    </w:p>
    <w:p>
      <w:pPr>
        <w:pStyle w:val="ListBullet"/>
      </w:pPr>
      <w:r>
        <w:t>Диагноз и маршрутизация определяются предтестовой вероятностью, объёмом ишемии и анатомией — не самим фактом стеноза.</w:t>
      </w:r>
    </w:p>
    <w:p>
      <w:pPr>
        <w:pStyle w:val="ListBullet"/>
      </w:pPr>
      <w:r>
        <w:t>ОМТ — фундамент терапии стабильной ИБС; целевая доза бисопролола 10 мг; фиксированная комбинация (Конкор® АМ) повышает приверженность и удерживает целевые дозы обоих компонентов.</w:t>
      </w:r>
    </w:p>
    <w:p/>
    <w:p>
      <w:r>
        <w:rPr>
          <w:b w:val="0"/>
          <w:i/>
          <w:color w:val="555555"/>
          <w:sz w:val="18"/>
        </w:rPr>
        <w:t>Версия 3.1 от 16 июня 2026. Тайминг: Гражданкин И.О. — 90 мин лекции двумя частями (45 + 45) с перерывом + 30 мин Q&amp;A; две короткие паузы (10 + 5 мин); кейсам отведено 50 мин. Источники содержания: КР МЗ РФ «Стабильная ИБС» 2024; «АГ у взрослых» 2024; «Нарушения липидного обмена» 2023; ESC 2024 CCS; ISCHEMIA (NEJM 2020); ORBITA / ORBITA-2; FAME / FAME-2; мета-анализ 90 РКИ; деки Гражданкина И.О., Кашталапа В.В. и клинических кейсов.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