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финальная версия 1.0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Диагностика ИБС: концепция, симптомы, ПТВ, стратегия (1.1–1.3)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 (после блока 1.3)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CAC, стресс-тесты, ОМТ vs реваскуляризация (1.4–1.6)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</w:t>
            </w:r>
          </w:p>
        </w:tc>
        <w:tc>
          <w:tcPr>
            <w:tcW w:type="dxa" w:w="2160"/>
          </w:tcPr>
          <w:p>
            <w:r>
              <w:t>Кашталап (+ Гражданкин)</w:t>
            </w:r>
          </w:p>
        </w:tc>
      </w:tr>
      <w:tr>
        <w:tc>
          <w:tcPr>
            <w:tcW w:type="dxa" w:w="2160"/>
          </w:tcPr>
          <w:p>
            <w:r>
              <w:t>18:00 – 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 – 18:55</w:t>
            </w:r>
          </w:p>
        </w:tc>
        <w:tc>
          <w:tcPr>
            <w:tcW w:type="dxa" w:w="2160"/>
          </w:tcPr>
          <w:p>
            <w:r>
              <w:t>Часть 3. Клинические разборы — 3 кейса (по 13 мин) + 4-й кейс по grey-zone реваскуляризации (7 мин)</w:t>
            </w:r>
          </w:p>
        </w:tc>
        <w:tc>
          <w:tcPr>
            <w:tcW w:type="dxa" w:w="2160"/>
          </w:tcPr>
          <w:p>
            <w:r>
              <w:t>Кейсы + голосование (50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/>
    <w:p>
      <w:pPr>
        <w:pStyle w:val="Heading2"/>
      </w:pPr>
      <w:r>
        <w:rPr>
          <w:color w:val="1F3A68"/>
        </w:rPr>
        <w:t>Ключевые решения этой версии</w:t>
      </w:r>
    </w:p>
    <w:p>
      <w:pPr>
        <w:pStyle w:val="ListBullet"/>
      </w:pPr>
      <w:r>
        <w:t>Часть 1 разделена на 1A (1.1–1.3, концепция: от симптомов к выбору стратегии) и 1B (1.4–1.6, методы: CAC, стресс-визуализация, реваскуляризация). Мини-перерыв 10 мин — между ними.</w:t>
      </w:r>
    </w:p>
    <w:p>
      <w:pPr>
        <w:pStyle w:val="ListBullet"/>
      </w:pPr>
      <w:r>
        <w:t>Часть 2 (Кашталап) — 50 мин, с двумя интерактивами (после слайда отмены БАБ и после блока Конкор АМ). Оба интерактива инициирует Кашталап сам, обращаясь к Гражданкину.</w:t>
      </w:r>
    </w:p>
    <w:p>
      <w:pPr>
        <w:pStyle w:val="ListBullet"/>
      </w:pPr>
      <w:r>
        <w:t>Открывающий слайд блока 2.5 «Коморбидности» — таблица частот коморбидов у пациентов с ИБС (источники: КР МЗ РФ + российские RWE-регистры); финальный выбор источников — за Кашталапом.</w:t>
      </w:r>
    </w:p>
    <w:p>
      <w:pPr>
        <w:pStyle w:val="ListBullet"/>
      </w:pPr>
      <w:r>
        <w:t>Часть 3 — 4 кейса вместо 3: добавлен Кейс 4 (grey zone реваскуляризации) — пациентка с 2-сосудистым поражением без LM/прокс. ПНА, ишемия &lt;10% по СПЭКТ-перфузии, FFR не делался. Закрывает прямой запрос аудитории на «проблемные» развилки в показаниях к ЧКВ.</w:t>
      </w:r>
    </w:p>
    <w:p>
      <w:pPr>
        <w:pStyle w:val="ListBullet"/>
      </w:pPr>
      <w:r>
        <w:t>Все тайминги перепроверены и сведены к ровным 240 минутам. См. блок «Контроль таймингов — карточка модератора» в конце документа.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CAC,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Подумать, как объяснить разницу в классификациях стенокардии — РКО (КР МЗ РФ) vs Канадская классификация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1.2  Симптомы и предтестовая вероятность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по КР МЗ РФ 2024 — основная для практики.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pStyle w:val="Heading3"/>
      </w:pPr>
      <w:r>
        <w:rPr>
          <w:color w:val="1F3A68"/>
        </w:rPr>
        <w:t>1.3  Стратегия обследования по ПТВ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эволюционирования таблицы ПТВ (ESC 2013 → ESC 2019 / РКО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И.О. Гражданкина категории ПТВ. В новейших ESC/РКО используется деление на 3 категории (≤5% / 5–15% / &gt;15%) с очень низкой, низкой и промежуточной/высокой группами. В его презентации звучат категории до 15% / 15–65% / 66–85% / &gt;85% — это старая 4-категорийная схема. Откуда 85% как граница и зачем такая детализация — обсудить, как подать это аудитории, чтобы не было путаницы.</w:t>
      </w:r>
    </w:p>
    <w:p>
      <w:pPr>
        <w:pStyle w:val="Heading3"/>
      </w:pPr>
      <w:r>
        <w:rPr>
          <w:color w:val="1F3A68"/>
        </w:rPr>
        <w:t>1.4  Коронарный кальций (CAC)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и АК на интерпретацию: маскировка симптомов, снижение ЧСС-ответа, критерии субмаксимальной нагрузки, за сколько отменять, как подстраховать пациента с точки зрения рикошета потенциальной ишемии / АГ. Детальный разбор отмены — в Части 2 и в кейсах Части 3.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В. В. Кашталапом.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Интерактив, голосования и мини-перерыв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Мини-перерыв 10 мин внутри лекции — после блока 1.3. Логика: 1.1–1.3 = концептуальная половина (от симптомов через ПТВ к выбору стратегии); 1.4–1.6 = техническая половина (CAC, стресс-методы, реваскуляризация). Естественная когнитивная развилка.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ДГП-БКК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Сразу после слайда отмены Кашталап сам инициирует 5-минутный обмен мнений с Гражданкиным: «Игорь Олегович, что вы думаете — как делаете вы в своей практике, утренний приём или 48 часов?»</w:t>
      </w:r>
    </w:p>
    <w:p>
      <w:pPr>
        <w:pStyle w:val="Heading3"/>
      </w:pPr>
      <w:r>
        <w:rPr>
          <w:color w:val="1F3A68"/>
        </w:rPr>
        <w:t>2.3  ОМТ vs реваскуляризация → почему БАБ + ДГП-БКК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ДГП-БКК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ограничения EMA 2012 по триметазидину.</w:t>
      </w:r>
    </w:p>
    <w:p>
      <w:pPr>
        <w:pStyle w:val="Heading3"/>
      </w:pPr>
      <w:r>
        <w:rPr>
          <w:color w:val="1F3A68"/>
        </w:rPr>
        <w:t>2.4  Конкор АМ: фарма + приверженность + RWE + обсуждение с Гражданкиным (13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switch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лёгкой/умеренной без ИБС/ХСН.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Кашталап сам инициирует диалог с Гражданкиным: «Игорь Олегович, как это в реальной практике, какие ваши ощущения от Конкор АМ — у каких пациентов работает лучше, какие подводные камни видите?»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таблица частот коморбидов у пациентов с ИБС (Кашталап предоставит). Показать долевое представительство: АГ (~80–90%), дислипидемия (~70%), СД2 (~30–40%), ХОБЛ (~15–20%), ХБП (~25–30%), PAD (~10–15%), ожирение (~40%). Источник — КР МЗ РФ + российские RWE-регистры. Цель — показать, что «наш» пациент очень коморбидный, и что для большинства этих популяций бисопролол изучен.</w:t>
      </w:r>
    </w:p>
    <w:p>
      <w:pPr>
        <w:pStyle w:val="ListBullet"/>
      </w:pPr>
      <w:r>
        <w:t>ХОБЛ — PACE 2026 (Lancet Respir Med, RCT phase 3, n=280, 24 мес.): RCT-уровень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благоприятный профиль; коррекция дозы при СКФ &lt;40.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нижних конечностей (PAD) — Mirault/COPART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компактный блок из 5 тезисов с рамкой nocebo-эффекта.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предоставляет открывающий слайд по таблице частот коморбидов — пятый «бонусный» слайд под нашу школу (дополнительно к слайду 10 мг, слайду отмены, слайду СД2 и чек-листу). Источники для таблицы — КР МЗ РФ + российские RWE-регистры (РЕЛИФ, ЭТАЛОН, ПРОГНОЗ-ИБС или аналогичные); финальный выбор источников — за Кашталапом.</w:t>
      </w:r>
    </w:p>
    <w:p>
      <w:pPr>
        <w:pStyle w:val="Heading3"/>
      </w:pPr>
      <w:r>
        <w:rPr>
          <w:color w:val="1F3A68"/>
        </w:rPr>
        <w:t>2.6  Финальная дискуссия и переход к кейсам (4 мин)</w:t>
      </w:r>
    </w:p>
    <w:p>
      <w:pPr>
        <w:pStyle w:val="ListBullet"/>
      </w:pPr>
      <w:r>
        <w:t>Короткие вопросы из зала; разбор спорных моментов. Основная дискуссия уже прошла через интерактивы 2.2 (отмена БАБ) и 2.4 (Конкор АМ в реальной практике).</w:t>
      </w:r>
    </w:p>
    <w:p>
      <w:pPr>
        <w:pStyle w:val="ListBullet"/>
      </w:pPr>
      <w:r>
        <w:t>Финальный «слайд-мостик»: 2–3 ключевых тезиса для Части 3 — целевая доза 10 мг, switch на Конкор АМ после стабилизации, ЧСС-цель 55–60.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50 минут: 3 кейса по 13 мин (Кейсы 1–3) + 4-й кейс grey-zone реваскуляризации 7 мин + 4 мин буфер на голосования и переходы. Сводное закрытие дня — отдельным блоком 18:55–19:00 (5 мин).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→ стратегия по ПТВ → стресс-визуализация → решение об ОМТ vs КАГ.</w:t>
      </w:r>
    </w:p>
    <w:p>
      <w:pPr>
        <w:pStyle w:val="ListBullet"/>
      </w:pPr>
      <w:r>
        <w:t>Кейс 2 — субклинический атеросклероз → реклассификация риска → верификация ИБС: CAC в своей правильной нише (КР МЗ РФ; ACC/AHA 2026) → стресс-визуализация → диагноз ХКС → ОМТ-интенсификация → Конкор АМ.</w:t>
      </w:r>
    </w:p>
    <w:p>
      <w:pPr>
        <w:pStyle w:val="ListBullet"/>
      </w:pPr>
      <w:r>
        <w:t>Кейс 3 — high-risk visualization → реваскуляризация + пожизненная ОМТ: положительная стресс-ЭхоКГ с ≥3 сегментами → КАГ + FFR → ЧКВ → post-PCI бисопролол + амлодипин → Конкор АМ.</w:t>
      </w:r>
    </w:p>
    <w:p>
      <w:pPr>
        <w:pStyle w:val="ListBullet"/>
      </w:pPr>
      <w:r>
        <w:t>Кейс 4 (grey zone) — пациент с двухсосудистым поражением без LM/прокс. ПНА, с объёмом ишемии &lt;10% по СПЭКТ-перфузии и без FFR: нужна ли реваскуляризация или интенсификация ОМТ? Закрывает запрос аудитории на «проблемные» развилки в показаниях к ЧКВ; иллюстрирует роль FFR и принцип «стеноз ≠ показание».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(13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АК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РКО 2024 и какой метод следующий — (а) стресс-ЭхоКГ; (б) КТА; (в) CAC-скоринг;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КТА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high-risk критерий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решение: добавить бисопролол 5 мг → титрация до 10 мг за 2–4 недели (целевая ЧСС 55–60); амлодипин — до 10 мг по контролю АД; при стабильности → switch на Конкор АМ 10/5 или 10/10; вальсартан 160 мг отдельной таблеткой (итого: 2 таблетки вместо 3). Целевое АД &lt;130/80.</w:t>
      </w:r>
    </w:p>
    <w:p>
      <w:pPr>
        <w:pStyle w:val="ListBullet"/>
      </w:pPr>
      <w:r>
        <w:t>Дополнительная терапия и маршрутизация: высокоинтенсивный статин (аторвастатин 40–80 / розувастатин 20–40); после верификации ХКС — цель ЛНП &lt;1,4 ммоль/л (КР МЗ РФ Нарушения липидного обмена 2023 — категория очень высокого риска; ACC/AHA 2026 §4.2 — клиническая ASCVD); АСК 100 мг/сут пожизненно. Контрольный визит через 4 недели — переносимость титрации, ЧСС, АД; через 3 мес — липиды, толерантность к нагрузке. При сохраняющихся симптомах после ОМТ — КТА или КАГ; параллельно рассмотреть микрососудистую/вазоспастическую этиологию.</w:t>
      </w:r>
    </w:p>
    <w:p>
      <w:pPr>
        <w:pStyle w:val="Heading3"/>
      </w:pPr>
      <w:r>
        <w:rPr>
          <w:color w:val="1F3A68"/>
        </w:rPr>
        <w:t>Кейс 2. Субклинический атеросклероз → CAC → верификация ИБС → Конкор АМ (13 мин)</w:t>
      </w:r>
    </w:p>
    <w:p>
      <w:r>
        <w:rPr>
          <w:b w:val="0"/>
          <w:i/>
          <w:sz w:val="22"/>
        </w:rPr>
        <w:t>Профиль: женщина 64 года, АГ ≥6 лет на вальсартане 160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На прямой вопрос — типичной стенокардии нет, но при активном расспросе: атипичный загрудинный дискомфорт при подъёме в гору и быстрой ходьбе ≥6 мес, не обращалась. АД 138/84, ЧСС 78.</w:t>
      </w:r>
    </w:p>
    <w:p>
      <w:pPr>
        <w:pStyle w:val="ListBullet"/>
      </w:pPr>
      <w:r>
        <w:t>Голосование 1: показан ли CAC-скоринг этой пациентке? Ориентир: да — женщина ≥45 лет с СД2 и дислипидемией без установленной ASCVD; CAC реклассифицирует риск и помогает определить интенсивность гиполипидемической терапии (ACC/AHA 2026 §4.2.7; КР МЗ РФ Нарушения липидного обмена 2023 — CAC как реклассификатор у пациентов промежуточного риска). NB: при УЖЕ установленной ИБС CAC не показан — это вторичная профилактика, цели терапии и так максимальны.</w:t>
      </w:r>
    </w:p>
    <w:p>
      <w:pPr>
        <w:pStyle w:val="ListBullet"/>
      </w:pPr>
      <w:r>
        <w:t>Развязка-1: выполнен CAC = 302 (категория CAC 300–999 по новой классификации ACC/AHA 2026). Реклассификация: высокая атеросклеротическая нагрузка → цель ЛНП &lt;1,8 ммоль/л (Class 1), допустимо стремиться к &lt;1,4 ммоль/л (Class 2a, интенсификация). Интенсификация статина: аторвастатин 20 → 40–80 мг или розувастатин 20–40 мг.</w:t>
      </w:r>
    </w:p>
    <w:p>
      <w:pPr>
        <w:pStyle w:val="ListBullet"/>
      </w:pPr>
      <w:r>
        <w:t>Голосование 2: при атипичных симптомах + CAC = 302 — следующий шаг для диагностики ИБС? Ориентир: ПТВ по РКО 2024 (женщина 60–69, атипичная стенокардия) ≈ нижняя часть промежуточной зоны; CAC ≥100 + симптомы значимо повышают ПТВ → стресс-визуализация (стресс-ЭхоКГ / стресс-сцинтиграфия). КТА также допустима. (Часть 1.3, 1.5)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ангинозный приступ. Диагноз: ХКС, атипичная стенокардия ФК II.</w:t>
      </w:r>
    </w:p>
    <w:p>
      <w:pPr>
        <w:pStyle w:val="ListBullet"/>
      </w:pPr>
      <w:r>
        <w:t>Голосование 3: 2 сегмента — high-risk imaging или нет? Тактика — ОМТ или КАГ? Ориентир: high-risk критерий Гражданкина ≥3 сегмента; 2 сегмента → подтверждённая ишемия низкого риска → ОМТ как первая стратегия (Часть 1.6).</w:t>
      </w:r>
    </w:p>
    <w:p>
      <w:pPr>
        <w:pStyle w:val="ListBullet"/>
      </w:pPr>
      <w:r>
        <w:t>Терапевтическое решение: добавить бисопролол 2,5 мг → титрация до 10 мг за 4–6 недель (целевая ЧСС 55–60); амлодипин 5 мг → возможно повышение до 10 мг по АД; при стабильности на 10 мг бисопролола + 5/10 мг амлодипина → switch на Конкор АМ 10/5 или 10/10. Вальсартан 160 мг — отдельной таблеткой. После верификации ХКС цель ЛНП &lt;1,4 ммоль/л (клиническая ASCVD по ACC/AHA 2026 §4.2; категория очень высокого риска КР МЗ РФ); статин — высокоинтенсивный, при необходимости — добавить эзетимиб; АСК 100 мг/сут пожизненно. Метформин и эмпаглифлозин продолжаются.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КМС-протекции (КР МЗ РФ СД2 / Стабильная ИБС 2024). «Гарантийный период» CAC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High-risk ишемия → реваскуляризация + пожизненная ОМТ с Конкор АМ (13 мин)</w:t>
      </w:r>
    </w:p>
    <w:p>
      <w:r>
        <w:rPr>
          <w:b w:val="0"/>
          <w:i/>
          <w:sz w:val="22"/>
        </w:rPr>
        <w:t>Профиль: мужчина 62 лет, АГ ≥7 лет на вальсартане 160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РКО 2024 и какой метод дообследования? Ориентир: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high-risk imaging → плановая КАГ.</w:t>
      </w:r>
    </w:p>
    <w:p>
      <w:pPr>
        <w:pStyle w:val="ListBullet"/>
      </w:pPr>
      <w:r>
        <w:t>Развязка: КАГ — 80% проксимальный стеноз ПНА, FFR 0,68 → функционально значимый стеноз. Показание к реваскуляризации. Выполнено ЧКВ ПНА с DES.</w:t>
      </w:r>
    </w:p>
    <w:p>
      <w:pPr>
        <w:pStyle w:val="ListBullet"/>
      </w:pPr>
      <w:r>
        <w:t>Голосование 3: нужен ли бисопролол post-PCI у этого пациента, если перенесённого ИМ нет? Опорная точка: КР МЗ РФ Стабильная ИБС 2024 — БАБ показаны при ИБС со стенокардией (антиангинальный класс I) и при дисфункции ЛЖ / ПИКС (прогностический класс I).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switch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решение: ДАТ (АСК 100 + клопидогрел/тикагрелор) по срокам КР МЗ РФ; высокоинтенсивный статин (аторвастатин 80 / розувастатин 40); после ЧКВ — клиническая ASCVD, цель ЛНП &lt;1,4 ммоль/л (КР МЗ РФ Нарушения липидного обмена 2023; ACC/AHA 2026 §4.2 — клиническая ASCVD); при ЛНП &gt;1,4 ммоль/л на максимально переносимом статине — добавить эзетимиб, далее — рассмотреть ингибитор PCSK9 / инклизиран. Вальсартан 160 мг продолжается; бисопролол 5 мг → титрация до 10 мг за 4–6 недель (целевая ЧСС 55–60); амлодипин 5 мг → по контролю АД, при необходимости до 10 мг. При стабильности → switch на Конкор АМ 10/5 или 10/10. Ключевой тезис: реваскуляризация не отменяет ОМТ, она её дополняет.</w:t>
      </w:r>
    </w:p>
    <w:p/>
    <w:p>
      <w:pPr>
        <w:pStyle w:val="Heading3"/>
      </w:pPr>
      <w:r>
        <w:rPr>
          <w:color w:val="1F3A68"/>
        </w:rPr>
        <w:t>Кейс 4 (grey zone). Нужна ли реваскуляризация при пограничной картине? (7 мин)</w:t>
      </w:r>
    </w:p>
    <w:p>
      <w:r>
        <w:rPr>
          <w:b w:val="0"/>
          <w:i/>
          <w:sz w:val="22"/>
        </w:rPr>
        <w:t>Профиль: женщина 64 лет, стенокардия CCS II, ГБ 2 ст., дислипидемия, БЕЗ СД. На ОМТ: бисопролол 5 мг + амлодипин 5 мг + АСК 100 мг + аторвастатин 40 мг. На этой терапии: ЛНП 1,7 ммоль/л, ЧСС покоя 62, АД 128/78; 2–3 эпизода стенокардии в неделю при значительной нагрузке (бытовую переносит). Уже выполнены: СПЭКТ-перфузия миокарда с нагрузкой — обратимые дефекты перфузии в бассейне ОА (нижне-боковая стенка) и небольшой обратимый дефект в бассейне ПКА (нижняя стенка); суммарный прирост ишемии под нагрузку ~8% ЛЖ (ниже прогностического порога 10%), ЕФ 60%. КАГ (амбулаторно, по направлению другого центра) — двухсосудистое поражение: 65% стеноз среднего сегмента ОА + 60% стеноз среднего сегмента ПКА; ствол ЛКА и ПНА чистые; FFR/iFR НЕ выполнялись. Пациентка: «Доктор, надо ли мне ставить стент?»</w:t>
      </w:r>
    </w:p>
    <w:p>
      <w:pPr>
        <w:pStyle w:val="ListBullet"/>
      </w:pPr>
      <w:r>
        <w:t>Голосование (4 опции): (A) направить на ЧКВ (стентировать оба стеноза); (B) повторно в катлаб для FFR/iFR в обоих сосудах, далее по результату; (C) интенсификация ОМТ без реваскуляризации; (D) другое.</w:t>
      </w:r>
    </w:p>
    <w:p>
      <w:pPr>
        <w:pStyle w:val="ListBullet"/>
      </w:pPr>
      <w:r>
        <w:t>Опорные точки разбора. Прогностические показания к реваскуляризации Class I (КР МЗ РФ 2024 «Стабильная ИБС»; ESC 2024 CCS): ствол ЛКА ≥50%; проксимальная ПНА ≥50%; 2–3-сосудистое поражение + дисфункция ЛЖ (ЕФ &lt;35%); объём ишемии &gt;10% ЛЖ при стресс-визуализации. У нашей пациентки 2-сосудистое поражение, НО без вовлечения проксимальной ПНА/ЛКА, ЕФ нормальная (60%), объём ишемии 8% (ниже порога 10%), СД нет → класс I прогностических показаний НЕ выполняется.</w:t>
      </w:r>
    </w:p>
    <w:p>
      <w:pPr>
        <w:pStyle w:val="ListBullet"/>
      </w:pPr>
      <w:r>
        <w:t>Для 2–3-сосудистого поражения с сохранной ЕФ и ишемией &lt;10% ESC 2024 / КР МЗ РФ 2024 определяют ЧКВ как Class IIa ТОЛЬКО для контроля симптомов при неадекватной ОМТ, и ОБЯЗАТЕЛЬНО с функциональной оценкой стенозов (FFR ≤0,80 / iFR ≤0,89). У нашей пациентки ОМТ ещё не на максимуме (бисопролол 5 мг — половина целевой дозы), а FFR не делался.</w:t>
      </w:r>
    </w:p>
    <w:p>
      <w:pPr>
        <w:pStyle w:val="ListBullet"/>
      </w:pPr>
      <w:r>
        <w:t>ISCHEMIA (NEJM 2020): у пациентов с умеренной/тяжёлой ишемией стратегия «реваскуляризация + ОМТ» НЕ улучшает hard outcomes (смерть/ИМ) vs «ОМТ ± реваскуляризация по симптомам». ORBITA / ORBITA-2: у пациентов со стенозами и умеренными симптомами эффект ЧКВ на стенокардию частично объясняется плацебо. FAME-2 и предшествующие FAME: при многососудистом поражении именно FFR-guided ЧКВ улучшает исходы по сравнению с ангиографически-управляемым.</w:t>
      </w:r>
    </w:p>
    <w:p>
      <w:pPr>
        <w:pStyle w:val="ListBullet"/>
      </w:pPr>
      <w:r>
        <w:t>Морфо-функциональное соответствие. Дефекты перфузии лоцированы в бассейнах поражённых сосудов (нижне-боковая → ОА; нижняя → ПКА) — то есть стенозы действительно ишемизируют миокард, но суммарный объём ишемии субпороговый. Без FFR нельзя сказать, какой из двух стенозов гемодинамически значим (и значим ли вообще).</w:t>
      </w:r>
    </w:p>
    <w:p>
      <w:pPr>
        <w:pStyle w:val="ListBullet"/>
      </w:pPr>
      <w:r>
        <w:t>Правильная тактика (B → C). Честный разговор с пациенткой: «по современным данным, стент не продлит вам жизнь при такой картине и не гарантирует дополнительной симптоматической пользы поверх грамотной ОМТ; решение принимается ради симптомов и только при доказанной функциональной значимости стенозов». Опции: (1) FFR/iFR обоих сосудов при повторной КАГ — реваскуляризировать ТОЛЬКО функционально значимые стенозы (FFR ≤0,80) при сохраняющихся симптомах; (2) если пациентка отказывается от повторного инвазивного исследования → интенсификация ОМТ: титрация бисопролола до 7,5–10 мг (если переносимость) + добавление 2-й линии (никорандил / ранолазин / ивабрадин / триметазидин — по профилю); пересмотр через 2–3 мес; (3) если симптомы сохраняются на максимальной ОМТ → возврат к обсуждению FFR + ЧКВ.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Урок кейса: «стеноз ≠ показание к реваскуляризации» даже при 2-сосудистом поражении. Решение интегрирует симптомы + объём ишемии + ЕФ + локализацию стенозов (LM / прокс. ПНА?) + наличие СД + FFR. Этот кейс отвечает на прямой запрос аудитории: «нужна ли реваскуляризация у пациента с определёнными данными сцинтиграфии и/или уже выполненной КАГ» — частая развилка, где аудитория просит чёткий алгоритм принятия решения.</w:t>
      </w:r>
    </w:p>
    <w:p>
      <w:pPr>
        <w:pStyle w:val="Heading3"/>
      </w:pPr>
      <w:r>
        <w:rPr>
          <w:color w:val="1F3A68"/>
        </w:rPr>
        <w:t>Сводное закрытие дня (5 мин, 18:55–19:00)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 (по 1–2 мин на каждого).</w:t>
      </w:r>
    </w:p>
    <w:p>
      <w:r>
        <w:br w:type="page"/>
      </w:r>
    </w:p>
    <w:p>
      <w:pPr>
        <w:jc w:val="center"/>
        <w:shd w:val="clear" w:color="auto" w:fill="555555"/>
      </w:pPr>
      <w:r>
        <w:rPr>
          <w:b/>
          <w:color w:val="FFFFFF"/>
          <w:sz w:val="26"/>
        </w:rPr>
        <w:t>Контроль таймингов — карточка модератора</w:t>
      </w:r>
    </w:p>
    <w:p>
      <w:r>
        <w:rPr>
          <w:b w:val="0"/>
          <w:i/>
          <w:sz w:val="22"/>
        </w:rPr>
        <w:t>Поминутная разбивка для тайм-кипера. Контрольные точки указаны от начала каждого блока. Жёстко удерживать переходы между частями — кофе-паузу и короткую паузу НЕ сокращать.</w:t>
      </w:r>
    </w:p>
    <w:p/>
    <w:p>
      <w:pPr>
        <w:pStyle w:val="Heading3"/>
      </w:pPr>
      <w:r>
        <w:rPr>
          <w:color w:val="1F3A68"/>
        </w:rPr>
        <w:t>Часть 1A — 50 мин (15:05–15:55)</w:t>
      </w:r>
    </w:p>
    <w:p>
      <w:pPr>
        <w:pStyle w:val="ListBullet"/>
      </w:pPr>
      <w:r>
        <w:t>1.1 Что такое ИБС/ХКС — 7 мин (старт 0:00, конец 0:07)</w:t>
      </w:r>
    </w:p>
    <w:p>
      <w:pPr>
        <w:pStyle w:val="ListBullet"/>
      </w:pPr>
      <w:r>
        <w:t>1.2 Симптомы и ПТВ — 13 мин (0:07–0:20)</w:t>
      </w:r>
    </w:p>
    <w:p>
      <w:pPr>
        <w:pStyle w:val="ListBullet"/>
      </w:pPr>
      <w:r>
        <w:t>1.3 Стратегия по ПТВ — 25 мин, включая 1-е голосование (0:20–0:45)</w:t>
      </w:r>
    </w:p>
    <w:p>
      <w:pPr>
        <w:pStyle w:val="ListBullet"/>
      </w:pPr>
      <w:r>
        <w:t>Буфер на переходы и второе голосование — 5 мин (0:45–0:50)</w:t>
      </w:r>
    </w:p>
    <w:p>
      <w:pPr>
        <w:pStyle w:val="ListBullet"/>
      </w:pPr>
      <w:r>
        <w:t>Контрольная точка: к 15:55 должны выйти на мини-перерыв; если 1.3 отстаёт — сокращать буфер, НЕ перерыв</w:t>
      </w:r>
    </w:p>
    <w:p>
      <w:pPr>
        <w:pStyle w:val="Heading3"/>
      </w:pPr>
      <w:r>
        <w:rPr>
          <w:color w:val="1F3A68"/>
        </w:rPr>
        <w:t>Часть 1B — 50 мин (16:05–16:55)</w:t>
      </w:r>
    </w:p>
    <w:p>
      <w:pPr>
        <w:pStyle w:val="ListBullet"/>
      </w:pPr>
      <w:r>
        <w:t>1.4 CAC — 12 мин (0:00–0:12)</w:t>
      </w:r>
    </w:p>
    <w:p>
      <w:pPr>
        <w:pStyle w:val="ListBullet"/>
      </w:pPr>
      <w:r>
        <w:t>1.5 Стресс-методы — 18 мин (0:12–0:30)</w:t>
      </w:r>
    </w:p>
    <w:p>
      <w:pPr>
        <w:pStyle w:val="ListBullet"/>
      </w:pPr>
      <w:r>
        <w:t>1.6 ОМТ vs реваскуляризация — 15 мин (0:30–0:45)</w:t>
      </w:r>
    </w:p>
    <w:p>
      <w:pPr>
        <w:pStyle w:val="ListBullet"/>
      </w:pPr>
      <w:r>
        <w:t>Интегрированный Q&amp;A — 5 мин (0:45–0:50)</w:t>
      </w:r>
    </w:p>
    <w:p>
      <w:pPr>
        <w:pStyle w:val="ListBullet"/>
      </w:pPr>
      <w:r>
        <w:t>Контрольная точка: к 16:55 — кофе-пауза; ожидаемая зона риска по таймингу — 1.5 (богатый блок)</w:t>
      </w:r>
    </w:p>
    <w:p>
      <w:pPr>
        <w:pStyle w:val="Heading3"/>
      </w:pPr>
      <w:r>
        <w:rPr>
          <w:color w:val="1F3A68"/>
        </w:rPr>
        <w:t>Часть 2 — 50 мин (17:10–18:00)</w:t>
      </w:r>
    </w:p>
    <w:p>
      <w:pPr>
        <w:pStyle w:val="ListBullet"/>
      </w:pPr>
      <w:r>
        <w:t>2.1 Место БАБ — 5 мин (0:00–0:05)</w:t>
      </w:r>
    </w:p>
    <w:p>
      <w:pPr>
        <w:pStyle w:val="ListBullet"/>
      </w:pPr>
      <w:r>
        <w:t>2.2 Бисопролол + доза 10 мг + отмена + интерактив с Гражданкиным — 12 мин (0:05–0:17). Внутри блока: ~7 мин лекция + ~5 мин обмен мнениями</w:t>
      </w:r>
    </w:p>
    <w:p>
      <w:pPr>
        <w:pStyle w:val="ListBullet"/>
      </w:pPr>
      <w:r>
        <w:t>2.3 ОМТ vs реваскуляризация — 7 мин (0:17–0:24)</w:t>
      </w:r>
    </w:p>
    <w:p>
      <w:pPr>
        <w:pStyle w:val="ListBullet"/>
      </w:pPr>
      <w:r>
        <w:t>2.4 Конкор АМ + интерактив с Гражданкиным — 13 мин (0:24–0:37). Внутри блока: ~6–8 мин лекция + ~5–7 мин обмен мнениями</w:t>
      </w:r>
    </w:p>
    <w:p>
      <w:pPr>
        <w:pStyle w:val="ListBullet"/>
      </w:pPr>
      <w:r>
        <w:t>2.5 Коморбидности (открывающий слайд-таблица + 5 субпопуляций) — 9 мин (0:37–0:46)</w:t>
      </w:r>
    </w:p>
    <w:p>
      <w:pPr>
        <w:pStyle w:val="ListBullet"/>
      </w:pPr>
      <w:r>
        <w:t>2.6 Финальная дискуссия + слайд-мостик — 4 мин (0:46–0:50)</w:t>
      </w:r>
    </w:p>
    <w:p>
      <w:pPr>
        <w:pStyle w:val="ListBullet"/>
      </w:pPr>
      <w:r>
        <w:t>Контрольная точка: к 18:00 — короткая пауза 5 мин; ожидаемая зона риска — 2.4 (если интерактив растягивается, держать в пределах 7 мин)</w:t>
      </w:r>
    </w:p>
    <w:p>
      <w:pPr>
        <w:pStyle w:val="Heading3"/>
      </w:pPr>
      <w:r>
        <w:rPr>
          <w:color w:val="1F3A68"/>
        </w:rPr>
        <w:t>Часть 3 — 50 мин (18:05–18:55)</w:t>
      </w:r>
    </w:p>
    <w:p>
      <w:pPr>
        <w:pStyle w:val="ListBullet"/>
      </w:pPr>
      <w:r>
        <w:t>Кейс 1 — 13 мин (0:00–0:13)</w:t>
      </w:r>
    </w:p>
    <w:p>
      <w:pPr>
        <w:pStyle w:val="ListBullet"/>
      </w:pPr>
      <w:r>
        <w:t>Кейс 2 — 13 мин (0:13–0:26)</w:t>
      </w:r>
    </w:p>
    <w:p>
      <w:pPr>
        <w:pStyle w:val="ListBullet"/>
      </w:pPr>
      <w:r>
        <w:t>Кейс 3 — 13 мин (0:26–0:39)</w:t>
      </w:r>
    </w:p>
    <w:p>
      <w:pPr>
        <w:pStyle w:val="ListBullet"/>
      </w:pPr>
      <w:r>
        <w:t>Кейс 4 (grey zone) — 7 мин (0:39–0:46)</w:t>
      </w:r>
    </w:p>
    <w:p>
      <w:pPr>
        <w:pStyle w:val="ListBullet"/>
      </w:pPr>
      <w:r>
        <w:t>Буфер на голосования и переходы между кейсами — 4 мин (0:46–0:50). Использовать по факту: ускорение в кейсах → больше времени на дискуссию в Кейсе 4 (он сложнее).</w:t>
      </w:r>
    </w:p>
    <w:p>
      <w:pPr>
        <w:pStyle w:val="ListBullet"/>
      </w:pPr>
      <w:r>
        <w:t>Контрольная точка: к 18:55 — выход на сводное закрытие; если Кейсы 1–3 затягиваются, ужать каждый до 12 мин, а не вырезать Кейс 4</w:t>
      </w:r>
    </w:p>
    <w:p>
      <w:pPr>
        <w:pStyle w:val="Heading3"/>
      </w:pPr>
      <w:r>
        <w:rPr>
          <w:color w:val="1F3A68"/>
        </w:rPr>
        <w:t>Сводное закрытие — 5 мин (18:55–19:00)</w:t>
      </w:r>
    </w:p>
    <w:p>
      <w:pPr>
        <w:pStyle w:val="ListBullet"/>
      </w:pPr>
      <w:r>
        <w:t>Голосование «что измените с понедельника» — 2 мин</w:t>
      </w:r>
    </w:p>
    <w:p>
      <w:pPr>
        <w:pStyle w:val="ListBullet"/>
      </w:pPr>
      <w:r>
        <w:t>Финальные тезисы Гражданкина — 1–2 мин</w:t>
      </w:r>
    </w:p>
    <w:p>
      <w:pPr>
        <w:pStyle w:val="ListBullet"/>
      </w:pPr>
      <w:r>
        <w:t>Финальные тезисы Кашталапа — 1–2 мин</w:t>
      </w:r>
    </w:p>
    <w:p>
      <w:pPr>
        <w:pStyle w:val="ListBullet"/>
      </w:pPr>
      <w:r>
        <w:t>Конец строго в 19:00</w:t>
      </w:r>
    </w:p>
    <w:p/>
    <w:p>
      <w:r>
        <w:rPr>
          <w:b/>
          <w:i w:val="0"/>
          <w:sz w:val="20"/>
        </w:rPr>
        <w:t>Итого: 5 + 50 + 10 + 50 + 15 + 50 + 5 + 50 + 5 = 240 минут = 4 часа. Проверено.</w:t>
      </w:r>
    </w:p>
    <w:p/>
    <w:p>
      <w:r>
        <w:rPr>
          <w:b w:val="0"/>
          <w:i/>
          <w:color w:val="808080"/>
          <w:sz w:val="18"/>
        </w:rPr>
        <w:t>Финальная версия 1.0 от 2026-05-20. Дата мероприятия: 17 июня 2026, 15:00–19:00 (4 часа с перерывами). Источники: КР МЗ РФ (Стабильная ИБС 2024, АГ у взрослых 2024, Нарушения липидного обмена 2023, ХСН 2024); ACC/AHA 2026 Guideline on the Management of Dyslipidemia; ESC 2024 CCS; ESC 2024 Hypertension; ISCHEMIA (NEJM 2020); ORBITA / ORBITA-2; FAME / FAME-2; PACE 2026 (Lancet Respir Med); Wu 2021; Mirault/COPART 2017; Maccabi 2025; Czarnecka 2015; Hostalek 2014/2016; Кобалава 2015; Verma 2018; Rea 2018; Selak 2024;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