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0.5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  •  Аудитория: кардиологи (приоритетно), терапевты  •  Эксперты: Гражданкин И.О., Кашталап В.В.  •  Длительность: ~4 ч 40 мин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16:35</w:t>
            </w:r>
          </w:p>
        </w:tc>
        <w:tc>
          <w:tcPr>
            <w:tcW w:type="dxa" w:w="2160"/>
          </w:tcPr>
          <w:p>
            <w:r>
              <w:t>Часть 1. Диагностика и стратификация риска ИБС — лекция</w:t>
            </w:r>
          </w:p>
        </w:tc>
        <w:tc>
          <w:tcPr>
            <w:tcW w:type="dxa" w:w="2160"/>
          </w:tcPr>
          <w:p>
            <w:r>
              <w:t>90 мин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16:35 – 17:05</w:t>
            </w:r>
          </w:p>
        </w:tc>
        <w:tc>
          <w:tcPr>
            <w:tcW w:type="dxa" w:w="2160"/>
          </w:tcPr>
          <w:p>
            <w:r>
              <w:t>Часть 1. Вопросы и обсуждение</w:t>
            </w:r>
          </w:p>
        </w:tc>
        <w:tc>
          <w:tcPr>
            <w:tcW w:type="dxa" w:w="2160"/>
          </w:tcPr>
          <w:p>
            <w:r>
              <w:t>30 мин Q&amp;A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17:05 – 17:20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17:20 – 18:20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+ дискуссия (60 мин)</w:t>
            </w:r>
          </w:p>
        </w:tc>
        <w:tc>
          <w:tcPr>
            <w:tcW w:type="dxa" w:w="2160"/>
          </w:tcPr>
          <w:p>
            <w:r>
              <w:t>Кашталап</w:t>
            </w:r>
          </w:p>
        </w:tc>
      </w:tr>
      <w:tr>
        <w:tc>
          <w:tcPr>
            <w:tcW w:type="dxa" w:w="2160"/>
          </w:tcPr>
          <w:p>
            <w:r>
              <w:t>18:20 – 18:30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18:30 – 19:30</w:t>
            </w:r>
          </w:p>
        </w:tc>
        <w:tc>
          <w:tcPr>
            <w:tcW w:type="dxa" w:w="2160"/>
          </w:tcPr>
          <w:p>
            <w:r>
              <w:t>Часть 3. Клинические разборы (3 кейса по 20 мин)</w:t>
            </w:r>
          </w:p>
        </w:tc>
        <w:tc>
          <w:tcPr>
            <w:tcW w:type="dxa" w:w="2160"/>
          </w:tcPr>
          <w:p>
            <w:r>
              <w:t>Кейсы + голосование (60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19:30 – 19:40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Свободный формат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90 минут лекция + 30 минут вопросы и обсуждение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 и голосование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Расширенная сессия вопросов и обсуждения — 30 минут после лекции.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60 минут (55 мин лекция + 5 мин дискуссия)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(7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(15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за 48–72 ч до нагрузочной пробы;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 Отмена для оценки эффективности антиангинальной терапии не проводится.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(12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(10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pStyle w:val="Heading3"/>
      </w:pPr>
      <w:r>
        <w:rPr>
          <w:color w:val="1F3A68"/>
        </w:rPr>
        <w:t>2.5  Бисопролол при коморбидностях (11 мин)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pStyle w:val="Heading3"/>
      </w:pPr>
      <w:r>
        <w:rPr>
          <w:color w:val="1F3A68"/>
        </w:rPr>
        <w:t>2.6  Дискуссия (5 мин)</w:t>
      </w:r>
    </w:p>
    <w:p>
      <w:pPr>
        <w:pStyle w:val="ListBullet"/>
      </w:pPr>
      <w:r>
        <w:t>Вопросы из зала; разбор спорных моментов.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60 минут (3 кейса по 20 мин)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(20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(20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(20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Сводная дискуссия (10 мин — в общем хронометраже после кейсов)</w:t>
      </w:r>
    </w:p>
    <w:p>
      <w:pPr>
        <w:pStyle w:val="ListBullet"/>
      </w:pPr>
      <w:r>
        <w:t>Что вы измените в своей практике с понедельника — голосование из 3–4 опций.</w:t>
      </w:r>
    </w:p>
    <w:p>
      <w:pPr>
        <w:pStyle w:val="ListBullet"/>
      </w:pPr>
      <w:r>
        <w:t>Открытые вопросы.</w:t>
      </w:r>
    </w:p>
    <w:p/>
    <w:p>
      <w:r>
        <w:rPr>
          <w:b w:val="0"/>
          <w:i/>
          <w:color w:val="808080"/>
          <w:sz w:val="18"/>
        </w:rPr>
        <w:t>Версия v0.5 от 2026-05-20. Дата мероприятия: 17 июня 2026, 15:00–19:40. Источники: КР МЗ РФ (Стабильная ИБС 2024, АГ у взрослых 2024, Нарушения липидного обмена 2023, ХСН 2024); ACC/AHA 2026 Guideline on the Management of Dyslipidemia; ESC 2024 CCS; ESC 2024 Hypertension;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