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dc09e26d44f853c242205a7fda352717f9d7a6"/>
    <w:p>
      <w:pPr>
        <w:pStyle w:val="Heading1"/>
      </w:pPr>
      <w:r>
        <w:t xml:space="preserve">Клинический кейс 3 — Конкор АМ 10/10 (АГ + стенокардия + ХБП С3bА2)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10/10 + Конкор (бренд, двухпродуктовое позиционирование).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пациентки с длительной АГ и стабильной стенокардией на фоне умеренной ХБП — оптимизация дозы на свободных компонентах → перевод на Конкор АМ 10/10; акценты — почечная безопасность бисопролола (сбалансированный двойной путь выведения), приверженность через FDC, переход на оригинальный бренд Конкор. РААС-блокатор сохраняется.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ИБС), КР МЗ РФ 2023 (нарушения липидного обмена), ОХЛП Конкор АМ / Конкор моно.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 (медпред-визит) + микс с терапевтами.</w:t>
      </w:r>
      <w:r>
        <w:t xml:space="preserve"> </w:t>
      </w:r>
      <w:r>
        <w:rPr>
          <w:bCs/>
          <w:b/>
        </w:rPr>
        <w:t xml:space="preserve">Off-label дисклеймер по разделу 4.1 ОХЛП Конкор АМ:</w:t>
      </w:r>
      <w:r>
        <w:t xml:space="preserve"> </w:t>
      </w:r>
      <w:r>
        <w:t xml:space="preserve">на уровне презентации (мастер-слайд), не в тексте кейса.</w:t>
      </w:r>
      <w:r>
        <w:t xml:space="preserve"> </w:t>
      </w:r>
      <w:r>
        <w:rPr>
          <w:bCs/>
          <w:b/>
        </w:rPr>
        <w:t xml:space="preserve">Backing для USP «оригинальный Конкор» и когортных данных по приверженности:</w:t>
      </w:r>
      <w:r>
        <w:t xml:space="preserve"> </w:t>
      </w:r>
      <w:r>
        <w:t xml:space="preserve">слайды из деки v2.0 (</w:t>
      </w:r>
      <w:r>
        <w:rPr>
          <w:rStyle w:val="VerbatimChar"/>
        </w:rPr>
        <w:t xml:space="preserve">context/slide-library/</w:t>
      </w:r>
      <w:r>
        <w:t xml:space="preserve">).</w:t>
      </w:r>
    </w:p>
    <w:p>
      <w:pPr>
        <w:pStyle w:val="BlockText"/>
      </w:pPr>
      <w:r>
        <w:t xml:space="preserve">Версия 1.1 — после первого совета (артефакты</w:t>
      </w:r>
      <w:r>
        <w:t xml:space="preserve"> </w:t>
      </w:r>
      <w:r>
        <w:rPr>
          <w:rStyle w:val="VerbatimChar"/>
        </w:rPr>
        <w:t xml:space="preserve">council-report-2026-06-07_160459.html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council-transcript-2026-06-07_160459.md</w:t>
      </w:r>
      <w:r>
        <w:t xml:space="preserve">). Применены решения пользователя.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Пациентка К., женщина, 63 года.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давящие боли за грудиной при ходьбе 200–300 м по ровной местности и подъёме на 1 пролёт лестницы, длительностью 3–5 мин, купируются прекращением нагрузки. Выраженное снижение толерантности к нагрузке (привычная активность ограничена). Утомляемость, общая слабость.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АГ более 10 лет, терапию принимала нерегулярно, привычные значения 150–160/95–100 мм рт.ст., целевых уровней не достигала. Ангинозные боли около 1,5 лет. Хроническая болезнь почек выявлена 2 года назад при обследовании по поводу АГ; течение стабильное, иной причины, кроме гипертонической болезни, не установлено.</w:t>
      </w:r>
    </w:p>
    <w:p>
      <w:pPr>
        <w:pStyle w:val="BodyText"/>
      </w:pPr>
      <w:r>
        <w:rPr>
          <w:bCs/>
          <w:b/>
        </w:rPr>
        <w:t xml:space="preserve">ТЕКУЩАЯ ТЕРАПИЯ (раздельная комбинация, принимает нерегулярно, часто пропускает приёмы):</w:t>
      </w:r>
      <w:r>
        <w:t xml:space="preserve"> </w:t>
      </w:r>
      <w:r>
        <w:t xml:space="preserve">амлодипин 10 мг вечером (убеждена, что вечерний приём предотвращает отёки; отёков нет), однако часто забывает; бисопролол 5 мг утром; периндоприл 8 мг/сут; аторвастатин 40 мг; ацетилсалициловая кислота 75 мг.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рост 165 см, вес 62 кг (ИМТ 22,8 — нормальная масса тела). Не курит, алкоголь не употребляет. Образ жизни малоподвижный.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длительная неконтролируемая АГ; хроническая болезнь почек; возраст; дислипидемия (на терапии). Сахарного диабета, перенесённого инфаркта миокарда и сердечной недостаточности нет.</w:t>
      </w:r>
    </w:p>
    <w:p>
      <w:pPr>
        <w:pStyle w:val="BodyText"/>
      </w:pPr>
      <w:r>
        <w:rPr>
          <w:bCs/>
          <w:b/>
        </w:rPr>
        <w:t xml:space="preserve">НАСЛЕДСТВЕННОСТЬ:</w:t>
      </w:r>
      <w:r>
        <w:t xml:space="preserve"> </w:t>
      </w:r>
      <w:r>
        <w:t xml:space="preserve">отягощена по АГ (мать).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АД 168/98 мм рт.ст. на приёме (СМАД: стойкая систоло-диастолическая АГ, недостаточное ночное снижение — non-dipper, типично для ХБП). ЧСС 88 уд/мин, пульс ритмичный. Тоны сердца ясные, акцент II тона над аортой. Дыхание везикулярное, хрипов нет. Периферических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ГЛЖ (индекс Соколова–Лайона 38 мм), без острых ишемических изменений.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62 % (Simpson, сохранена), ИММЛЖ 118 г/м² (норма для женщин ≤ 95 → ГЛЖ), относительная толщина стенок 0,48 → концентрическая гипертрофия ЛЖ; левое предсердие не расширено.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Стресс-ЭхоКГ с физической нагрузкой:</w:t>
      </w:r>
      <w:r>
        <w:t xml:space="preserve"> </w:t>
      </w:r>
      <w:r>
        <w:t xml:space="preserve">положительная — преходящая гипокинезия нижне-боковых сегментов ЛЖ при субмаксимальной нагрузке; зона ишемии умеренная (не высокого риска).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Решение консилиума:</w:t>
      </w:r>
      <w:r>
        <w:t xml:space="preserve"> </w:t>
      </w:r>
      <w:r>
        <w:t xml:space="preserve">с учётом умеренного объёма ишемии и ХБП С3b (риск контраст-индуцированного повреждения почек) — оптимальная медикаментозная терапия; инвазивная стратегия резервируется на случай рефрактерности.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СКФ CKD-EPI 36 мл/мин/1,73 м² → ХБП С3b; альбумин/креатинин мочи 80 мг/г → А2. Калий 4,6 ммоль/л. Глюкоза натощак 5,4 ммоль/л; HbA1c 5,5 %. ОХС 3,8; ЛНП 1,4; ЛВП 1,3; ТГ 1,4 ммоль/л (целевой ХС-ЛНП достигнут на терапии). ТТГ в норме.</w:t>
      </w:r>
    </w:p>
    <w:p>
      <w:pPr>
        <w:pStyle w:val="BodyText"/>
      </w:pPr>
      <w:r>
        <w:rPr>
          <w:bCs/>
          <w:b/>
        </w:rPr>
        <w:t xml:space="preserve">ДИАГНОЗ (КР МЗ РФ, при обращении):</w:t>
      </w:r>
      <w:r>
        <w:t xml:space="preserve"> </w:t>
      </w:r>
      <w:r>
        <w:t xml:space="preserve">&gt; ИБС: стабильная стенокардия напряжения ФК III.</w:t>
      </w:r>
      <w:r>
        <w:t xml:space="preserve"> </w:t>
      </w:r>
      <w:r>
        <w:t xml:space="preserve">&gt; Гипертоническая болезнь III стадии. Гипертензивное поражение органов-мишеней: концентрическая гипертрофия левого желудочка. Целевой уровень АД (≤130/&lt;80 мм рт.ст. при ХБП) не достигнут. Риск 4 (очень высокий).</w:t>
      </w:r>
      <w:r>
        <w:t xml:space="preserve"> </w:t>
      </w:r>
      <w:r>
        <w:t xml:space="preserve">&gt; ХБП С3bА2.</w:t>
      </w:r>
      <w:r>
        <w:t xml:space="preserve"> </w:t>
      </w:r>
      <w:r>
        <w:t xml:space="preserve">&gt; Дислипидемия, целевой уровень ХС-ЛНП достигнут на терапии.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ДОРОЖНАЯ КАРТА (обсуждена и согласована с пациенткой):</w:t>
      </w:r>
      <w:r>
        <w:t xml:space="preserve"> </w:t>
      </w:r>
      <w:r>
        <w:t xml:space="preserve">поэтапный план — (1) сначала подбор эффективной дозы на свободных компонентах с контролем переносимости; (2) после подтверждения эффективности подобранных доз — перевод на фиксированную комбинацию для устранения нерегулярного приёма.</w:t>
      </w:r>
    </w:p>
    <w:p>
      <w:pPr>
        <w:pStyle w:val="BodyText"/>
      </w:pPr>
      <w:r>
        <w:rPr>
          <w:bCs/>
          <w:b/>
        </w:rPr>
        <w:t xml:space="preserve">Шаг 1.</w:t>
      </w:r>
      <w:r>
        <w:t xml:space="preserve"> </w:t>
      </w:r>
      <w:r>
        <w:t xml:space="preserve">На фоне сохранения</w:t>
      </w:r>
      <w:r>
        <w:t xml:space="preserve"> </w:t>
      </w:r>
      <w:r>
        <w:rPr>
          <w:bCs/>
          <w:b/>
        </w:rPr>
        <w:t xml:space="preserve">периндоприла 8 мг</w:t>
      </w:r>
      <w:r>
        <w:t xml:space="preserve">, аторвастатина 40 мг и АСК 75 мг проведена работа по приверженности; для контроля стенокардии и ЧСС бисопролол-дженерик заменён на оригинальный</w:t>
      </w:r>
      <w:r>
        <w:t xml:space="preserve"> </w:t>
      </w:r>
      <w:r>
        <w:rPr>
          <w:bCs/>
          <w:b/>
        </w:rPr>
        <w:t xml:space="preserve">Конкор и титрован с 5 до 10 мг/сут</w:t>
      </w:r>
      <w:r>
        <w:t xml:space="preserve">, амлодипин 10 мг сохранён, перенесён на утренние часы.</w:t>
      </w:r>
      <w:r>
        <w:t xml:space="preserve"> </w:t>
      </w:r>
      <w:r>
        <w:rPr>
          <w:iCs/>
          <w:i/>
        </w:rPr>
        <w:t xml:space="preserve">Через 7 дней:</w:t>
      </w:r>
      <w:r>
        <w:t xml:space="preserve"> </w:t>
      </w:r>
      <w:r>
        <w:t xml:space="preserve">АД 142/86 мм рт.ст., ЧСС 74 уд/мин, стенокардия в пределах ФК II, частота приступов снизилась; переносимость хорошая, отёков нет.</w:t>
      </w:r>
    </w:p>
    <w:p>
      <w:pPr>
        <w:pStyle w:val="BodyText"/>
      </w:pPr>
      <w:r>
        <w:rPr>
          <w:bCs/>
          <w:b/>
        </w:rPr>
        <w:t xml:space="preserve">Шаг 2.</w:t>
      </w:r>
      <w:r>
        <w:t xml:space="preserve"> </w:t>
      </w:r>
      <w:r>
        <w:t xml:space="preserve">После подтверждения эффективности и переносимости подобранных доз — перевод на фиксированную комбинацию</w:t>
      </w:r>
      <w:r>
        <w:t xml:space="preserve"> </w:t>
      </w:r>
      <w:r>
        <w:rPr>
          <w:bCs/>
          <w:b/>
        </w:rPr>
        <w:t xml:space="preserve">Конкор АМ 10/10 мг утром</w:t>
      </w:r>
      <w:r>
        <w:t xml:space="preserve"> </w:t>
      </w:r>
      <w:r>
        <w:t xml:space="preserve">(в тех же дозах) для устранения нерегулярного приёма.</w:t>
      </w:r>
      <w:r>
        <w:t xml:space="preserve"> </w:t>
      </w:r>
      <w:r>
        <w:rPr>
          <w:iCs/>
          <w:i/>
        </w:rPr>
        <w:t xml:space="preserve">Через 7 дней:</w:t>
      </w:r>
      <w:r>
        <w:t xml:space="preserve"> </w:t>
      </w:r>
      <w:r>
        <w:t xml:space="preserve">АД 128/76 мм рт.ст., ЧСС 66 уд/мин, приступы стенокардии на уровне ФК I; СКФ без динамики (36 мл/мин/1,73 м²).</w:t>
      </w:r>
    </w:p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для ХБП достигнут (≤130/&lt;80 мм рт.ст.; 128/76).</w:t>
      </w:r>
      <w:r>
        <w:t xml:space="preserve"> </w:t>
      </w:r>
      <w:r>
        <w:t xml:space="preserve">- ФК I достигнут — приступы стенокардии отсутствуют.</w:t>
      </w:r>
      <w:r>
        <w:t xml:space="preserve"> </w:t>
      </w:r>
      <w:r>
        <w:t xml:space="preserve">- ЧСС 66 уд/мин: целевой коридор 55–60 по КР МЗ РФ Стабильная ИБС-2024 — инструмент для достижения симптомного контроля; при достигнутом ФК I дальнейшая титрация не показана.</w:t>
      </w:r>
      <w:r>
        <w:t xml:space="preserve"> </w:t>
      </w:r>
      <w:r>
        <w:t xml:space="preserve">- Функция почек без ухудшения (СКФ стабильна).</w:t>
      </w:r>
    </w:p>
    <w:p>
      <w:pPr>
        <w:pStyle w:val="BodyText"/>
      </w:pPr>
      <w:r>
        <w:rPr>
          <w:bCs/>
          <w:b/>
        </w:rPr>
        <w:t xml:space="preserve">ПОЧЕМУ КОНКОР АМ 10/10: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Оригинальный бисопролол — Конкор — предсказуемость эффекта в сравнении с дженериками.</w:t>
      </w:r>
      <w:r>
        <w:t xml:space="preserve"> </w:t>
      </w:r>
      <w:r>
        <w:rPr>
          <w:iCs/>
          <w:i/>
        </w:rPr>
        <w:t xml:space="preserve">(Backing — слайды деки v2.0 по фармакокинетике / биоэквивалентности.)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Почечная безопасность — ядро выбора.</w:t>
      </w:r>
      <w:r>
        <w:t xml:space="preserve"> </w:t>
      </w:r>
      <w:r>
        <w:t xml:space="preserve">Бисопролол имеет сбалансированный двойной путь выведения (~50 % почечная экскреция / ~50 % печёночный метаболизм), что обеспечивает предсказуемую фармакокинетику и отсутствие клинически значимой кумуляции при нарушении функции почек; период полувыведения при почечной недостаточности возрастает лишь приблизительно вдвое.</w:t>
      </w:r>
      <w:r>
        <w:t xml:space="preserve"> </w:t>
      </w:r>
      <w:r>
        <w:rPr>
          <w:bCs/>
          <w:b/>
        </w:rPr>
        <w:t xml:space="preserve">Коррекция дозы бисопролола при ХБП С3b не требуется</w:t>
      </w:r>
      <w:r>
        <w:t xml:space="preserve"> </w:t>
      </w:r>
      <w:r>
        <w:t xml:space="preserve">— ограничение «не выше 10 мг» по ОХЛП Конкор относится только к тяжёлой и терминальной ХПН (КК &lt; 20 мл/мин). Амлодипин выводится преимущественно путём печёночного метаболизма и также не требует коррекции дозы при ХБП. Таким образом, Конкор АМ — рациональный выбор фиксированной комбинации у пациента с умеренной ХБП.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Приверженность.</w:t>
      </w:r>
      <w:r>
        <w:t xml:space="preserve"> </w:t>
      </w:r>
      <w:r>
        <w:t xml:space="preserve">Единая таблетка один раз в сутки устраняет нерегулярный приём — ключевую причину недостижения целевых показателей у пациентки. Вечерний приём амлодипина был основан на заблуждении: при периоде полувыведения 35–50 ч концентрация препарата стабильна, и время приёма на риск отёков не влияет.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Контроль без смены молекул.</w:t>
      </w:r>
      <w:r>
        <w:t xml:space="preserve"> </w:t>
      </w:r>
      <w:r>
        <w:t xml:space="preserve">Перевод выполнен в уже подобранных дозах (бисопролол 10 + амлодипин 10), что сохранило достигнутый эффект и позволило реализовать полный потенциал дозы за счёт регулярного приёма.</w:t>
      </w:r>
      <w:r>
        <w:t xml:space="preserve"> </w:t>
      </w:r>
      <w:r>
        <w:rPr>
          <w:iCs/>
          <w:i/>
        </w:rPr>
        <w:t xml:space="preserve">(Backing — слайды деки v2.0 по приверженности и твёрдым конечным точкам, Verma 2018.)</w:t>
      </w:r>
    </w:p>
    <w:p>
      <w:pPr>
        <w:pStyle w:val="FirstParagraph"/>
      </w:pPr>
      <w:r>
        <w:rPr>
          <w:bCs/>
          <w:b/>
        </w:rPr>
        <w:t xml:space="preserve">FAIR BALANCE:</w:t>
      </w:r>
      <w:r>
        <w:t xml:space="preserve"> </w:t>
      </w:r>
      <w:r>
        <w:t xml:space="preserve">- Периферический отёк — дозозависимый класс-эффект дигидропиридиновых БКК (наиболее вероятен на дозе 10 мг); у пациентки отсутствует, переносимость хорошая, дополнительно нивелируется сопутствующим периндоприлом.</w:t>
      </w:r>
      <w:r>
        <w:t xml:space="preserve"> </w:t>
      </w:r>
      <w:r>
        <w:t xml:space="preserve">- ЧСС 66 уд/мин — клинически удовлетворительная при достигнутом ФК I; симптомной брадикардии нет.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2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2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2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2"/>
        </w:numPr>
        <w:pStyle w:val="Compact"/>
      </w:pPr>
      <w:r>
        <w:t xml:space="preserve">ОХЛП Конкор АМ (ЛП-№012650-РГ-RU от 28.11.2025); ОХЛП Конкор моно (ЛП-№003852-РГ-RU от 30.11.2023).</w:t>
      </w:r>
    </w:p>
    <w:p>
      <w:pPr>
        <w:numPr>
          <w:ilvl w:val="0"/>
          <w:numId w:val="1002"/>
        </w:numPr>
        <w:pStyle w:val="Compact"/>
      </w:pPr>
      <w:r>
        <w:t xml:space="preserve">Backing-слайды (фармакокинетика / биоэквивалентность Конкор vs дженерики; приверженность и твёрдые конечные точки — Verma 2018) — из деки</w:t>
      </w:r>
      <w:r>
        <w:t xml:space="preserve"> </w:t>
      </w:r>
      <w:r>
        <w:rPr>
          <w:rStyle w:val="VerbatimChar"/>
        </w:rPr>
        <w:t xml:space="preserve">context/slide-library/2026-05-14_konkor-am_fdc-bisop-amlo_v2.0.pptx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2026-06-07T16:21:44Z</dcterms:created>
  <dcterms:modified xsi:type="dcterms:W3CDTF">2026-06-07T16:21:44Z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