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0"/>
        </w:rPr>
        <w:t>ШКОЛА ИБС — обсуждаемый документ</w:t>
      </w:r>
    </w:p>
    <w:p>
      <w:pPr>
        <w:jc w:val="center"/>
      </w:pPr>
      <w:r>
        <w:rPr>
          <w:i/>
          <w:sz w:val="24"/>
        </w:rPr>
        <w:t>Итоги внутреннего обсуждения программы v0.3 — список правок к v0.4</w:t>
      </w:r>
    </w:p>
    <w:p>
      <w:pPr>
        <w:jc w:val="center"/>
      </w:pPr>
      <w:r>
        <w:rPr>
          <w:i/>
          <w:color w:val="555555"/>
          <w:sz w:val="20"/>
        </w:rPr>
        <w:t>Дата мероприятия: 17 июня 2026, 15:00. Подготовлено для обсуждения с Гражданкиным И.О. и Кашталапом В.В.</w:t>
      </w:r>
    </w:p>
    <w:p/>
    <w:p>
      <w:pPr>
        <w:pStyle w:val="Heading2"/>
      </w:pPr>
      <w:r>
        <w:rPr>
          <w:color w:val="1F3A68"/>
        </w:rPr>
        <w:t>Как сделано это обсуждение</w:t>
      </w:r>
    </w:p>
    <w:p>
      <w:r>
        <w:rPr>
          <w:b w:val="0"/>
          <w:i/>
          <w:sz w:val="22"/>
        </w:rPr>
        <w:t>Программа v0.3 рассмотрена через три линзы: (1) кардиолог стационара — заинтересованный практик ОКС/ИМ/ХСН; (2) кардиолог поликлиники — амбулаторный, АГ + ИБС + коморбиды; (3) маркетолог Merck — приоритеты Конкор АМ и Конкор 10 мг при соблюдении комплаенса. Каждая линза высказалась, спорные точки обсуждены до консенсуса, ниже — 7 приоритетных правок + расширения по уточнениям Евгения.</w:t>
      </w:r>
    </w:p>
    <w:p/>
    <w:p>
      <w:pPr>
        <w:jc w:val="center"/>
        <w:shd w:val="clear" w:color="auto" w:fill="1F3A68"/>
      </w:pPr>
      <w:r>
        <w:rPr>
          <w:b/>
          <w:color w:val="FFFFFF"/>
          <w:sz w:val="26"/>
        </w:rPr>
        <w:t>1. Хронометраж дня — пересчёт</w:t>
      </w:r>
    </w:p>
    <w:p>
      <w:r>
        <w:rPr>
          <w:b w:val="0"/>
          <w:i/>
          <w:sz w:val="22"/>
        </w:rPr>
        <w:t>Гражданкин озвучил, что в прошлый раз его блок занял 1 ч 30 мин лекции + 30 мин вопросов = 2 часа суммарно. Текущие 75 мин нереалистичны для его педагогического подхода (он искренне хочет научить, а не пробежать). Перестраиваю расписание дня.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Длительность</w:t>
            </w:r>
          </w:p>
        </w:tc>
      </w:tr>
      <w:tr>
        <w:tc>
          <w:tcPr>
            <w:tcW w:type="dxa" w:w="2880"/>
          </w:tcPr>
          <w:p>
            <w:r>
              <w:t>15:00 – 15:05</w:t>
            </w:r>
          </w:p>
        </w:tc>
        <w:tc>
          <w:tcPr>
            <w:tcW w:type="dxa" w:w="2880"/>
          </w:tcPr>
          <w:p>
            <w:r>
              <w:t>Открытие, цели дня, формат голосования</w:t>
            </w:r>
          </w:p>
        </w:tc>
        <w:tc>
          <w:tcPr>
            <w:tcW w:type="dxa" w:w="2880"/>
          </w:tcPr>
          <w:p>
            <w:r>
              <w:t>5 мин</w:t>
            </w:r>
          </w:p>
        </w:tc>
      </w:tr>
      <w:tr>
        <w:tc>
          <w:tcPr>
            <w:tcW w:type="dxa" w:w="2880"/>
          </w:tcPr>
          <w:p>
            <w:r>
              <w:t>15:05 – 16:35</w:t>
            </w:r>
          </w:p>
        </w:tc>
        <w:tc>
          <w:tcPr>
            <w:tcW w:type="dxa" w:w="2880"/>
          </w:tcPr>
          <w:p>
            <w:r>
              <w:t>Часть 1. Диагностика ИБС — лекция (Гражданкин)</w:t>
            </w:r>
          </w:p>
        </w:tc>
        <w:tc>
          <w:tcPr>
            <w:tcW w:type="dxa" w:w="2880"/>
          </w:tcPr>
          <w:p>
            <w:r>
              <w:t>90 мин</w:t>
            </w:r>
          </w:p>
        </w:tc>
      </w:tr>
      <w:tr>
        <w:tc>
          <w:tcPr>
            <w:tcW w:type="dxa" w:w="2880"/>
          </w:tcPr>
          <w:p>
            <w:r>
              <w:t>16:35 – 17:05</w:t>
            </w:r>
          </w:p>
        </w:tc>
        <w:tc>
          <w:tcPr>
            <w:tcW w:type="dxa" w:w="2880"/>
          </w:tcPr>
          <w:p>
            <w:r>
              <w:t>Часть 1. Вопросы и обсуждение</w:t>
            </w:r>
          </w:p>
        </w:tc>
        <w:tc>
          <w:tcPr>
            <w:tcW w:type="dxa" w:w="2880"/>
          </w:tcPr>
          <w:p>
            <w:r>
              <w:t>30 мин</w:t>
            </w:r>
          </w:p>
        </w:tc>
      </w:tr>
      <w:tr>
        <w:tc>
          <w:tcPr>
            <w:tcW w:type="dxa" w:w="2880"/>
          </w:tcPr>
          <w:p>
            <w:r>
              <w:t>17:05 – 17:20</w:t>
            </w:r>
          </w:p>
        </w:tc>
        <w:tc>
          <w:tcPr>
            <w:tcW w:type="dxa" w:w="2880"/>
          </w:tcPr>
          <w:p>
            <w:r>
              <w:t>Кофе-пауза</w:t>
            </w:r>
          </w:p>
        </w:tc>
        <w:tc>
          <w:tcPr>
            <w:tcW w:type="dxa" w:w="2880"/>
          </w:tcPr>
          <w:p>
            <w:r>
              <w:t>15 мин</w:t>
            </w:r>
          </w:p>
        </w:tc>
      </w:tr>
      <w:tr>
        <w:tc>
          <w:tcPr>
            <w:tcW w:type="dxa" w:w="2880"/>
          </w:tcPr>
          <w:p>
            <w:r>
              <w:t>17:20 – 18:20</w:t>
            </w:r>
          </w:p>
        </w:tc>
        <w:tc>
          <w:tcPr>
            <w:tcW w:type="dxa" w:w="2880"/>
          </w:tcPr>
          <w:p>
            <w:r>
              <w:t>Часть 2. Терапия ИБС / Конкор АМ (Кашталап)</w:t>
            </w:r>
          </w:p>
        </w:tc>
        <w:tc>
          <w:tcPr>
            <w:tcW w:type="dxa" w:w="2880"/>
          </w:tcPr>
          <w:p>
            <w:r>
              <w:t>60 мин</w:t>
            </w:r>
          </w:p>
        </w:tc>
      </w:tr>
      <w:tr>
        <w:tc>
          <w:tcPr>
            <w:tcW w:type="dxa" w:w="2880"/>
          </w:tcPr>
          <w:p>
            <w:r>
              <w:t>18:20 – 18:30</w:t>
            </w:r>
          </w:p>
        </w:tc>
        <w:tc>
          <w:tcPr>
            <w:tcW w:type="dxa" w:w="2880"/>
          </w:tcPr>
          <w:p>
            <w:r>
              <w:t>Кофе-пауза (короткая)</w:t>
            </w:r>
          </w:p>
        </w:tc>
        <w:tc>
          <w:tcPr>
            <w:tcW w:type="dxa" w:w="2880"/>
          </w:tcPr>
          <w:p>
            <w:r>
              <w:t>10 мин</w:t>
            </w:r>
          </w:p>
        </w:tc>
      </w:tr>
      <w:tr>
        <w:tc>
          <w:tcPr>
            <w:tcW w:type="dxa" w:w="2880"/>
          </w:tcPr>
          <w:p>
            <w:r>
              <w:t>18:30 – 19:30</w:t>
            </w:r>
          </w:p>
        </w:tc>
        <w:tc>
          <w:tcPr>
            <w:tcW w:type="dxa" w:w="2880"/>
          </w:tcPr>
          <w:p>
            <w:r>
              <w:t>Часть 3. Клинические разборы — 3 кейса по 20 мин</w:t>
            </w:r>
          </w:p>
        </w:tc>
        <w:tc>
          <w:tcPr>
            <w:tcW w:type="dxa" w:w="2880"/>
          </w:tcPr>
          <w:p>
            <w:r>
              <w:t>60 мин</w:t>
            </w:r>
          </w:p>
        </w:tc>
      </w:tr>
      <w:tr>
        <w:tc>
          <w:tcPr>
            <w:tcW w:type="dxa" w:w="2880"/>
          </w:tcPr>
          <w:p>
            <w:r>
              <w:t>19:30 – 19:40</w:t>
            </w:r>
          </w:p>
        </w:tc>
        <w:tc>
          <w:tcPr>
            <w:tcW w:type="dxa" w:w="2880"/>
          </w:tcPr>
          <w:p>
            <w:r>
              <w:t>Итоговая дискуссия, выводы дня</w:t>
            </w:r>
          </w:p>
        </w:tc>
        <w:tc>
          <w:tcPr>
            <w:tcW w:type="dxa" w:w="2880"/>
          </w:tcPr>
          <w:p>
            <w:r>
              <w:t>10 мин</w:t>
            </w:r>
          </w:p>
        </w:tc>
      </w:tr>
    </w:tbl>
    <w:p>
      <w:r>
        <w:rPr>
          <w:b w:val="0"/>
          <w:i/>
          <w:sz w:val="22"/>
        </w:rPr>
        <w:t>Итого: ~4 ч 40 мин, окончание 19:40. Часть 3 сокращена с 75 до 60 мин — голосования и обсуждение в каждом кейсе ужимаются с 7–8 до 5 мин. Это компенсация за расширение Части 1.</w:t>
      </w:r>
    </w:p>
    <w:p>
      <w:pPr>
        <w:ind w:left="283"/>
      </w:pPr>
      <w:r>
        <w:rPr>
          <w:b/>
          <w:color w:val="B8860B"/>
        </w:rPr>
        <w:t xml:space="preserve">Открытый вопрос: </w:t>
      </w:r>
      <w:r>
        <w:rPr>
          <w:i/>
          <w:color w:val="B8860B"/>
        </w:rPr>
        <w:t>альтернатива — оставить 75 мин на Часть 3 и закончить в 19:55. Решение Евгения.</w:t>
      </w:r>
    </w:p>
    <w:p/>
    <w:p>
      <w:pPr>
        <w:jc w:val="center"/>
        <w:shd w:val="clear" w:color="auto" w:fill="1F3A68"/>
      </w:pPr>
      <w:r>
        <w:rPr>
          <w:b/>
          <w:color w:val="FFFFFF"/>
          <w:sz w:val="26"/>
        </w:rPr>
        <w:t>2. Согласованные правки v0.3 → v0.4 (7 пунктов)</w:t>
      </w:r>
    </w:p>
    <w:p>
      <w:pPr>
        <w:pStyle w:val="Heading3"/>
      </w:pPr>
      <w:r>
        <w:rPr>
          <w:color w:val="1F3A68"/>
        </w:rPr>
        <w:t>Правка 1. Часть 1 расширяется до 90 мин лекции + 30 мин Q&amp;A</w:t>
      </w:r>
    </w:p>
    <w:p>
      <w:r>
        <w:rPr>
          <w:b w:val="0"/>
          <w:i/>
          <w:sz w:val="22"/>
        </w:rPr>
        <w:t>Уже отражено в новом хронометраже (см. §1). Гражданкину сообщается, что у него реалистичный объём времени. Это снимает риск, что он будет нервничать и галопом проходить ключевые места (CAC, стресс-тесты, FFR).</w:t>
      </w:r>
    </w:p>
    <w:p>
      <w:pPr>
        <w:pStyle w:val="Heading3"/>
      </w:pPr>
      <w:r>
        <w:rPr>
          <w:color w:val="1F3A68"/>
        </w:rPr>
        <w:t>Правка 2. Слайд-якорь «Бисопролол 10 мг — целевая доза, не максимум» в блок 2.2</w:t>
      </w:r>
    </w:p>
    <w:p>
      <w:pPr>
        <w:pStyle w:val="ListBullet"/>
      </w:pPr>
      <w:r>
        <w:t>Один крупный тезис на отдельном слайде, без длинной аргументации.</w:t>
      </w:r>
    </w:p>
    <w:p>
      <w:pPr>
        <w:pStyle w:val="ListBullet"/>
      </w:pPr>
      <w:r>
        <w:t>Формулировка-кандидат: «Целевая доза бисопролола при ИБС со стенокардией — 10 мг/сут. Это норма, а не верхняя граница. Реальная клиническая практика — систематическое недотитрование.»</w:t>
      </w:r>
    </w:p>
    <w:p>
      <w:pPr>
        <w:pStyle w:val="ListBullet"/>
      </w:pPr>
      <w:r>
        <w:t>Поддержка: данные дозо-зависимости из деки Конкор АМ v2.0; целевые ЧСС покоя 55–60/мин.</w:t>
      </w:r>
    </w:p>
    <w:p>
      <w:pPr>
        <w:ind w:left="283"/>
      </w:pPr>
      <w:r>
        <w:rPr>
          <w:b/>
          <w:color w:val="555555"/>
        </w:rPr>
        <w:t xml:space="preserve">Зачем: </w:t>
      </w:r>
      <w:r>
        <w:rPr>
          <w:i/>
          <w:color w:val="555555"/>
        </w:rPr>
        <w:t>консенсус всех трёх линз — это ключевой образовательный месседж школы по приоритету №2 Merck.</w:t>
      </w:r>
    </w:p>
    <w:p>
      <w:pPr>
        <w:pStyle w:val="Heading3"/>
      </w:pPr>
      <w:r>
        <w:rPr>
          <w:color w:val="1F3A68"/>
        </w:rPr>
        <w:t>Правка 3. Слайд «Безопасная отмена бисопролола — только для диагностики» в блок 2.2</w:t>
      </w:r>
    </w:p>
    <w:p>
      <w:r>
        <w:rPr>
          <w:b w:val="0"/>
          <w:i/>
          <w:color w:val="B8860B"/>
          <w:sz w:val="22"/>
        </w:rPr>
        <w:t>ВАЖНОЕ УТОЧНЕНИЕ ЕВГЕНИЯ: отмена БАБ/АК — только для целей диагностики (стресс-тестирование). Нельзя отменять для «оценки эффективности антиангинальной терапии» — теряется сам смысл оценки.</w:t>
      </w:r>
    </w:p>
    <w:p>
      <w:pPr>
        <w:pStyle w:val="ListBullet"/>
      </w:pPr>
      <w:r>
        <w:t>Заголовок слайда чётко позиционирует: «Отмена БАБ/АК перед стресс-тестом» (а не «при оценке терапии»).</w:t>
      </w:r>
    </w:p>
    <w:p>
      <w:pPr>
        <w:pStyle w:val="ListBullet"/>
      </w:pPr>
      <w:r>
        <w:t>Бисопролол: T½ ~10–12 ч; отмена за 48–72 ч до нагрузочной пробы.</w:t>
      </w:r>
    </w:p>
    <w:p>
      <w:pPr>
        <w:pStyle w:val="ListBullet"/>
      </w:pPr>
      <w:r>
        <w:t>Амлодипин: T½ ~30–50 ч (большой разброс); полная отмывка занимает 5–7 дней. На практике часто оставляется — обсудить с экспертами, какова рутинная тактика.</w:t>
      </w:r>
    </w:p>
    <w:p>
      <w:pPr>
        <w:pStyle w:val="ListBullet"/>
      </w:pPr>
      <w:r>
        <w:t>Мост на период отмывки: короткодействующие нитраты по требованию. Сублингвальный нитроглицерин (T½ минуты) — приступ; изосорбида динитрат сублингвально (T½ 1–4 ч) — при ожидаемой нагрузке. Не пролонгированные формы.</w:t>
      </w:r>
    </w:p>
    <w:p>
      <w:pPr>
        <w:pStyle w:val="ListBullet"/>
      </w:pPr>
      <w:r>
        <w:t>Инструктаж пациента: когда принимать нитрат; когда вызывать СМП при подозрении на рикошет.</w:t>
      </w:r>
    </w:p>
    <w:p>
      <w:pPr>
        <w:ind w:left="283"/>
      </w:pPr>
      <w:r>
        <w:rPr>
          <w:b/>
          <w:color w:val="555555"/>
        </w:rPr>
        <w:t xml:space="preserve">Зачем: </w:t>
      </w:r>
      <w:r>
        <w:rPr>
          <w:i/>
          <w:color w:val="555555"/>
        </w:rPr>
        <w:t>правка Евгения в Части 1.5 (рикошет при отмене) получает практическое продолжение в Части 2; врач уходит со схемой, а не с тревогой.</w:t>
      </w:r>
    </w:p>
    <w:p>
      <w:pPr>
        <w:ind w:left="283"/>
      </w:pPr>
      <w:r>
        <w:rPr>
          <w:b/>
          <w:color w:val="B8860B"/>
        </w:rPr>
        <w:t xml:space="preserve">Открытый вопрос к экспертам: </w:t>
      </w:r>
      <w:r>
        <w:rPr>
          <w:i/>
          <w:color w:val="B8860B"/>
        </w:rPr>
        <w:t>позиция КР МЗ РФ Стабильная ИБС 2024 по срокам отмены — точные часы / диапазоны.</w:t>
      </w:r>
    </w:p>
    <w:p>
      <w:pPr>
        <w:pStyle w:val="Heading3"/>
      </w:pPr>
      <w:r>
        <w:rPr>
          <w:color w:val="1F3A68"/>
        </w:rPr>
        <w:t>Правка 4. Слайд по бисопрололу при СД2 — собрать дополнительно к деке</w:t>
      </w:r>
    </w:p>
    <w:p>
      <w:pPr>
        <w:pStyle w:val="ListBullet"/>
      </w:pPr>
      <w:r>
        <w:t>В текущей деке Конкор АМ v2.0 (97 слайдов) выделенного слайда по СД2 нет. Есть Maccabi 2025 по метаболике (слайд 84) — использовать как базу.</w:t>
      </w:r>
    </w:p>
    <w:p>
      <w:pPr>
        <w:pStyle w:val="ListBullet"/>
      </w:pPr>
      <w:r>
        <w:t>Содержание под школу: β1-селективность → не ухудшает гликемический контроль; не маскирует гипогликемию в той же степени, что неселективные БАБ; данные Maccabi 2025 — метаболическая нейтральность в широкой реальной популяции.</w:t>
      </w:r>
    </w:p>
    <w:p>
      <w:pPr>
        <w:pStyle w:val="ListBullet"/>
      </w:pPr>
      <w:r>
        <w:t>Опционально — короткое упоминание UKPDS как исторического фона (атенолол), чтобы отделить класс от молекулы.</w:t>
      </w:r>
    </w:p>
    <w:p>
      <w:pPr>
        <w:ind w:left="283"/>
      </w:pPr>
      <w:r>
        <w:rPr>
          <w:b/>
          <w:color w:val="555555"/>
        </w:rPr>
        <w:t xml:space="preserve">Зачем: </w:t>
      </w:r>
      <w:r>
        <w:rPr>
          <w:i/>
          <w:color w:val="555555"/>
        </w:rPr>
        <w:t>консенсус всех трёх линз — кардиолог поликлиники видит таких пациентов ежедневно; для Merck это закрывает регулярно возникающий вопрос с поля.</w:t>
      </w:r>
    </w:p>
    <w:p>
      <w:pPr>
        <w:pStyle w:val="Heading3"/>
      </w:pPr>
      <w:r>
        <w:rPr>
          <w:color w:val="1F3A68"/>
        </w:rPr>
        <w:t>Правка 5. Печатный чек-лист одной страницей — в раздатку</w:t>
      </w:r>
    </w:p>
    <w:p>
      <w:pPr>
        <w:pStyle w:val="ListBullet"/>
      </w:pPr>
      <w:r>
        <w:t>Академический стиль, без брендинга Конкор АМ — комплаенс-safe.</w:t>
      </w:r>
    </w:p>
    <w:p>
      <w:pPr>
        <w:pStyle w:val="ListBullet"/>
      </w:pPr>
      <w:r>
        <w:t>Структура: Анамнез/симптомы → ПТВ (таблица РКО 2024) → Метод обследования (по ПТВ) → Терапия (БАБ, целевые дозы, добавление АК) → Цели (ЧСС 55–60, АД &lt;130/80) → Контроль и маршрутизация.</w:t>
      </w:r>
    </w:p>
    <w:p>
      <w:pPr>
        <w:pStyle w:val="ListBullet"/>
      </w:pPr>
      <w:r>
        <w:t>Подготовить как отдельный файл A4 (или А3 в две колонки) для печати; в репозитории — `tasks/slides/2026-XX-XX_shkola-ibs_checklist.docx`.</w:t>
      </w:r>
    </w:p>
    <w:p>
      <w:pPr>
        <w:ind w:left="283"/>
      </w:pPr>
      <w:r>
        <w:rPr>
          <w:b/>
          <w:color w:val="555555"/>
        </w:rPr>
        <w:t xml:space="preserve">Зачем: </w:t>
      </w:r>
      <w:r>
        <w:rPr>
          <w:i/>
          <w:color w:val="555555"/>
        </w:rPr>
        <w:t>запрос кардиолога-поликлиники: «без чек-листа знания через неделю сотрутся». Маркетолог поддержал как опору для последующих визитов медпредов.</w:t>
      </w:r>
    </w:p>
    <w:p>
      <w:pPr>
        <w:pStyle w:val="Heading3"/>
      </w:pPr>
      <w:r>
        <w:rPr>
          <w:color w:val="1F3A68"/>
        </w:rPr>
        <w:t>Правка 6. Кейс 1 — добавить КТА как альтернативу в голосование №1</w:t>
      </w:r>
    </w:p>
    <w:p>
      <w:pPr>
        <w:pStyle w:val="ListBullet"/>
      </w:pPr>
      <w:r>
        <w:t>Голосование сохраняет основной путь (стресс-ЭхоКГ как реалистично доступный), но даёт КТА как корректную альтернативу с обоснованием — для тех регионов/центров, где КТА доступна без многомесячной очереди.</w:t>
      </w:r>
    </w:p>
    <w:p>
      <w:pPr>
        <w:pStyle w:val="ListBullet"/>
      </w:pPr>
      <w:r>
        <w:t>Формулировка-кандидат для голосования: «Мужчина 58 лет, типичная стенокардия 2 мес, ПТВ ~22%. Следующий шаг: (а) стресс-ЭхоКГ; (б) КТА; (в) CAC-скоринг; (г) сразу КАГ». Правильные ответы — (а) и (б), с обсуждением различий в практике.</w:t>
      </w:r>
    </w:p>
    <w:p>
      <w:pPr>
        <w:ind w:left="283"/>
      </w:pPr>
      <w:r>
        <w:rPr>
          <w:b/>
          <w:color w:val="555555"/>
        </w:rPr>
        <w:t xml:space="preserve">Зачем: </w:t>
      </w:r>
      <w:r>
        <w:rPr>
          <w:i/>
          <w:color w:val="555555"/>
        </w:rPr>
        <w:t>снимает напряжение между стационарной и амбулаторной аудиториями; обе видят свой ответ.</w:t>
      </w:r>
    </w:p>
    <w:p>
      <w:pPr>
        <w:pStyle w:val="Heading3"/>
      </w:pPr>
      <w:r>
        <w:rPr>
          <w:color w:val="1F3A68"/>
        </w:rPr>
        <w:t>Правка 7. Кейс 1 — расширить терапевтическую развязку до полной амбулаторной маршрутизации</w:t>
      </w:r>
    </w:p>
    <w:p>
      <w:pPr>
        <w:pStyle w:val="ListBullet"/>
      </w:pPr>
      <w:r>
        <w:t>Статин: высокоинтенсивный (аторвастатин 40–80 / розувастатин 20–40), целевой ЛНП &lt;1,4 ммоль/л (категория очень высокого риска по SCORE2 для России).</w:t>
      </w:r>
    </w:p>
    <w:p>
      <w:pPr>
        <w:pStyle w:val="ListBullet"/>
      </w:pPr>
      <w:r>
        <w:t>Антитромбоцитарная терапия: АСК 100 мг/сут — пожизненно (КР МЗ РФ Стабильная ИБС 2024).</w:t>
      </w:r>
    </w:p>
    <w:p>
      <w:pPr>
        <w:pStyle w:val="ListBullet"/>
      </w:pPr>
      <w:r>
        <w:t>Контрольный визит: через 4 недели — оценка переносимости титрации, ЧСС, АД; через 3 мес — липиды, толерантность к нагрузке.</w:t>
      </w:r>
    </w:p>
    <w:p>
      <w:pPr>
        <w:pStyle w:val="ListBullet"/>
      </w:pPr>
      <w:r>
        <w:t>Маршрутизация при отрицательном диагностическом тесте: рассмотреть КТА или КАГ при сохраняющихся симптомах; параллельно — обсудить микрососудистую/вазоспастическую этиологию.</w:t>
      </w:r>
    </w:p>
    <w:p>
      <w:pPr>
        <w:ind w:left="283"/>
      </w:pPr>
      <w:r>
        <w:rPr>
          <w:b/>
          <w:color w:val="555555"/>
        </w:rPr>
        <w:t xml:space="preserve">Зачем: </w:t>
      </w:r>
      <w:r>
        <w:rPr>
          <w:i/>
          <w:color w:val="555555"/>
        </w:rPr>
        <w:t>запрос кардиолога-поликлиники: «программа сейчас обрывается на 10 мг → Конкор АМ, а мне нужна полная амбулаторная маршрутизация».</w:t>
      </w:r>
    </w:p>
    <w:p/>
    <w:p>
      <w:pPr>
        <w:jc w:val="center"/>
        <w:shd w:val="clear" w:color="auto" w:fill="1F3A68"/>
      </w:pPr>
      <w:r>
        <w:rPr>
          <w:b/>
          <w:color w:val="FFFFFF"/>
          <w:sz w:val="26"/>
        </w:rPr>
        <w:t>3. Что обсудили и решили НЕ менять</w:t>
      </w:r>
    </w:p>
    <w:p>
      <w:pPr>
        <w:pStyle w:val="ListBullet"/>
      </w:pPr>
      <w:r>
        <w:t>Состав 3 кейсов в Части 3 (1 — впервые стенокардия + АГ; 2 — высокий CAC, ОМТ-интенсификация; 3 — high-risk → ЧКВ → post-PCI). Все три on-target для Конкор АМ, маршрутизация по разным веткам алгоритма Гражданкина.</w:t>
      </w:r>
    </w:p>
    <w:p>
      <w:pPr>
        <w:pStyle w:val="ListBullet"/>
      </w:pPr>
      <w:r>
        <w:t>Конкор НСТ — одна строка в блоке 2.4 без углубления.</w:t>
      </w:r>
    </w:p>
    <w:p>
      <w:pPr>
        <w:pStyle w:val="ListBullet"/>
      </w:pPr>
      <w:r>
        <w:t>Обратный пример (ХСНнФВ) в кейсах — не возвращаем; комплаенс-функцию выполняет блок «когда Конкор АМ не показан» в 2.4.</w:t>
      </w:r>
    </w:p>
    <w:p>
      <w:pPr>
        <w:pStyle w:val="ListBullet"/>
      </w:pPr>
      <w:r>
        <w:t>Дисклеймер «получены у» в Кейсе 1 — сохраняем; согласование формулировки с юристами Merck остаётся открытой задачей.</w:t>
      </w:r>
    </w:p>
    <w:p>
      <w:pPr>
        <w:pStyle w:val="ListBullet"/>
      </w:pPr>
      <w:r>
        <w:t>Конкретные таблицы ПТВ — оставляем РКО 2024 как основную; ESC 2013 и 2019 — в backup-слайдах деки Гражданкина.</w:t>
      </w:r>
    </w:p>
    <w:p/>
    <w:p>
      <w:pPr>
        <w:jc w:val="center"/>
        <w:shd w:val="clear" w:color="auto" w:fill="B8860B"/>
      </w:pPr>
      <w:r>
        <w:rPr>
          <w:b/>
          <w:color w:val="FFFFFF"/>
          <w:sz w:val="26"/>
        </w:rPr>
        <w:t>4. Открытые вопросы — на согласование</w:t>
      </w:r>
    </w:p>
    <w:p>
      <w:pPr>
        <w:pStyle w:val="Heading3"/>
      </w:pPr>
      <w:r>
        <w:rPr>
          <w:color w:val="1F3A68"/>
        </w:rPr>
        <w:t>К Евгению</w:t>
      </w:r>
    </w:p>
    <w:p>
      <w:pPr>
        <w:pStyle w:val="ListBullet"/>
      </w:pPr>
      <w:r>
        <w:t>Хронометраж: 19:40 (Часть 3 = 60 мин) или 19:55 (Часть 3 = 75 мин)?</w:t>
      </w:r>
    </w:p>
    <w:p>
      <w:pPr>
        <w:pStyle w:val="ListBullet"/>
      </w:pPr>
      <w:r>
        <w:t>СД2-слайд — собираем под школу самостоятельно или просим Кашталапа взять под себя?</w:t>
      </w:r>
    </w:p>
    <w:p>
      <w:pPr>
        <w:pStyle w:val="ListBullet"/>
      </w:pPr>
      <w:r>
        <w:t>Чек-лист одной страницей — кто собирает (Claude / медицинская служба Merck / эксперты)?</w:t>
      </w:r>
    </w:p>
    <w:p>
      <w:pPr>
        <w:pStyle w:val="Heading3"/>
      </w:pPr>
      <w:r>
        <w:rPr>
          <w:color w:val="1F3A68"/>
        </w:rPr>
        <w:t>К Гражданкину</w:t>
      </w:r>
    </w:p>
    <w:p>
      <w:pPr>
        <w:pStyle w:val="ListBullet"/>
      </w:pPr>
      <w:r>
        <w:t>Подтвердить 90 мин лекции + 30 мин Q&amp;A — комфортно?</w:t>
      </w:r>
    </w:p>
    <w:p>
      <w:pPr>
        <w:pStyle w:val="ListBullet"/>
      </w:pPr>
      <w:r>
        <w:t>Обновление CAC-бинов на 0 / 1–99 / 100–299 / ≥300 — согласовать.</w:t>
      </w:r>
    </w:p>
    <w:p>
      <w:pPr>
        <w:pStyle w:val="ListBullet"/>
      </w:pPr>
      <w:r>
        <w:t>«Пациентский» CAC-блок в середине деки — убрать.</w:t>
      </w:r>
    </w:p>
    <w:p>
      <w:pPr>
        <w:pStyle w:val="ListBullet"/>
      </w:pPr>
      <w:r>
        <w:t>Добавить разветвление в финальный алгоритм: ≥3 сегмента → КАГ; &lt;3 сегментов → возможна ОМТ без КАГ.</w:t>
      </w:r>
    </w:p>
    <w:p>
      <w:pPr>
        <w:pStyle w:val="ListBullet"/>
      </w:pPr>
      <w:r>
        <w:t>Слайд по «гарантийному сроку CAC=0» (MESA 2021; мета-анализ 2024) — добавить как «pearl».</w:t>
      </w:r>
    </w:p>
    <w:p>
      <w:pPr>
        <w:pStyle w:val="Heading3"/>
      </w:pPr>
      <w:r>
        <w:rPr>
          <w:color w:val="1F3A68"/>
        </w:rPr>
        <w:t>К Кашталапу</w:t>
      </w:r>
    </w:p>
    <w:p>
      <w:pPr>
        <w:pStyle w:val="ListBullet"/>
      </w:pPr>
      <w:r>
        <w:t>Конфигурация деки Конкор АМ v2.0 — берём Тему 1 (блоки 1–6 + 9) + блок 13 целиком?</w:t>
      </w:r>
    </w:p>
    <w:p>
      <w:pPr>
        <w:pStyle w:val="ListBullet"/>
      </w:pPr>
      <w:r>
        <w:t>Сборка дополнительных слайдов под школу: (1) Бисопролол 10 мг — норма; (2) Отмена БАБ/АК для диагностики + нитратный мост; (3) Бисопролол при СД2. Кто собирает финальные слайды — Кашталап с медслужбой или Claude/Евгений предоставляют черновики?</w:t>
      </w:r>
    </w:p>
    <w:p>
      <w:pPr>
        <w:pStyle w:val="ListBullet"/>
      </w:pPr>
      <w:r>
        <w:t>Согласование терапевтической развязки Кейса 1 (статин, АСК, контрольные визиты) — кто финализирует числа.</w:t>
      </w:r>
    </w:p>
    <w:p>
      <w:pPr>
        <w:pStyle w:val="ListBullet"/>
      </w:pPr>
      <w:r>
        <w:t>Координация с Гражданкиным: блок 1.5 «отмена БАБ/АК» — общая логика, у Кашталапа в 2.2 — практическая схема. Согласовать, кто что говорит окончательно.</w:t>
      </w:r>
    </w:p>
    <w:p/>
    <w:p>
      <w:r>
        <w:rPr>
          <w:b w:val="0"/>
          <w:i/>
          <w:color w:val="808080"/>
          <w:sz w:val="18"/>
        </w:rPr>
        <w:t>Документ для внутреннего обсуждения. Не является финальной программой школы. После согласования открытых вопросов — собираем программу v0.4. Источники: программа v0.3 (tasks/slides/2026-05-19_shkola-ibs_programma_v03.docx); дека Конкор АМ v2.0 (context/slide-library/); PDF презентации Гражданкина (uploads).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