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Встреча 2026-05-20: Барбараш — Кашталап — Аронов</w:t>
      </w:r>
    </w:p>
    <w:p>
      <w:r>
        <w:rPr>
          <w:b/>
        </w:rPr>
        <w:t>Участники (3 спикера):</w:t>
      </w:r>
    </w:p>
    <w:p>
      <w:pPr>
        <w:pStyle w:val="ListBullet"/>
      </w:pPr>
      <w:r>
        <w:t>О.Л. Барбараш (академик, председатель)</w:t>
      </w:r>
    </w:p>
    <w:p>
      <w:pPr>
        <w:pStyle w:val="ListBullet"/>
      </w:pPr>
      <w:r>
        <w:t>В.В. Кашталап (профессор)</w:t>
      </w:r>
    </w:p>
    <w:p>
      <w:pPr>
        <w:pStyle w:val="ListBullet"/>
      </w:pPr>
      <w:r>
        <w:t>Е.А. Аронов (медицинский советник Merck; в нескольких репликах ошибочно «Кирилл Анатольевич»)</w:t>
      </w:r>
    </w:p>
    <w:p>
      <w:r>
        <w:rPr>
          <w:b/>
        </w:rPr>
        <w:t>Упомянутые лица (с исправлением расшифровки):</w:t>
      </w:r>
      <w:r>
        <w:t xml:space="preserve"> Таничева (в тексте «Этуаничеву», «Танечке»), С.В. Виллевальде (в тексте «Велевальдой»), Н.Г. Гоголашвили (в тексте «Гаглашвили»), Ю.А. Карпов, А.А. Бощенко (Томск), Козелова, М.М. Петрова, С.С. Якушин (Рязань), О.Ю. Кореннова (Омск), Е.В. Протасов (Иркутск), И. Гражданкин (Новосибирск), Скибицкий (Краснодар), А. Ершова (Merck), А.О. Недогода, Кисляк, Панов, Мария Генриховна, О. Воськова.</w:t>
      </w:r>
    </w:p>
    <w:p/>
    <w:p>
      <w:pPr>
        <w:pStyle w:val="Heading1"/>
      </w:pPr>
      <w:r>
        <w:t>Блок 1. Целевые дозы β-блокаторов и цели лечения стенокардии (содержательная рамка)</w:t>
      </w:r>
    </w:p>
    <w:p>
      <w:r>
        <w:rPr>
          <w:b/>
        </w:rPr>
        <w:t>Обсуждали</w:t>
      </w:r>
      <w:r>
        <w:t xml:space="preserve"> ключевой вопрос: что считать целью терапии при стабильной стенокардии и обязательна ли титрация β-блокатора до целевой ЧСС, если симптом купирован.</w:t>
      </w:r>
    </w:p>
    <w:p>
      <w:pPr>
        <w:pStyle w:val="ListBullet"/>
      </w:pPr>
      <w:r>
        <w:rPr>
          <w:b/>
        </w:rPr>
        <w:t>Стратегическая vs тактическая цель.</w:t>
      </w:r>
      <w:r>
        <w:t xml:space="preserve"> Стратегическая — устранение стенокардии и улучшение прогноза; тактическая — выбор механизма и скорости. В КР по стабильной ИБС, в отличие от АГ, </w:t>
      </w:r>
      <w:r>
        <w:rPr>
          <w:b/>
        </w:rPr>
        <w:t>не прописана скорость перехода ко второй ступени</w:t>
      </w:r>
      <w:r>
        <w:t xml:space="preserve"> (второму препарату); единственное косвенное упоминание комбинаций — в ESC ХКС, и то через приверженность.</w:t>
      </w:r>
    </w:p>
    <w:p>
      <w:pPr>
        <w:pStyle w:val="ListBullet"/>
      </w:pPr>
      <w:r>
        <w:rPr>
          <w:b/>
        </w:rPr>
        <w:t>Мономеханизма нет.</w:t>
      </w:r>
      <w:r>
        <w:t xml:space="preserve"> У одного пациента сосуществуют макрообструкция, микроваскулярный компонент и симпатикотония — ведущий механизм клинически не идентифицируем, отсюда логика ранней комбинации (β-блокатор + АК) по аналогии с АГ. У АК (амлодипин) дополнительно — действие в микроциркуляторном русле и доказательная база по конечным точкам атеросклероза (Camelot); рефлекторная тахикардия нивелируется β-блокатором.</w:t>
      </w:r>
    </w:p>
    <w:p>
      <w:pPr>
        <w:pStyle w:val="ListBullet"/>
      </w:pPr>
      <w:r>
        <w:rPr>
          <w:b/>
        </w:rPr>
        <w:t>Нужно ли титровать ББ после достижения ФК-1?</w:t>
      </w:r>
      <w:r>
        <w:t xml:space="preserve"> Договорились: ЧСС — </w:t>
      </w:r>
      <w:r>
        <w:rPr>
          <w:b/>
        </w:rPr>
        <w:t>не самоцель, а маркер</w:t>
      </w:r>
      <w:r>
        <w:t xml:space="preserve"> (как температура — сердечной недостаточности, гиперсимпатикотонии). Жёсткий ЧСС-контроль оправдан у конкретных фенотипов: гиперсимпатикотония, лабильные/эмоционально реактивные пациенты с большим приростом ЧСС при нагрузке, СД с атипичной стенокардией. Аргументы за ЧСС: данные CLARIFY (стенокардия → хуже прогноз), известный градиент риска по ЧСС покоя. Аргументы против абсолютизации: исторические данные по монотерапии ББ + аспирином получены до эры реваскуляризации, статинов и ДААТ, и не могут механически переноситься; у пожилых ивабрадин «заваливал» симптомной брадикардией.</w:t>
      </w:r>
    </w:p>
    <w:p>
      <w:pPr>
        <w:pStyle w:val="ListBullet"/>
      </w:pPr>
      <w:r>
        <w:rPr>
          <w:b/>
        </w:rPr>
        <w:t>Опорные точки лечения (предложение для документа):</w:t>
      </w:r>
      <w:r>
        <w:t xml:space="preserve"> симптомы — ФК-1; АД при сочетании АГ+ИБС — &lt;130/80; ЧСС — индивидуально, со ссылкой на фенотип. Дихотомия «препараты для симптомов vs для прогноза» поставлена под сомнение: ишемия сама по себе ухудшает прогноз, поэтому антиишемические средства потенциально прогноз-модифицирующие.</w:t>
      </w:r>
    </w:p>
    <w:p>
      <w:pPr>
        <w:pStyle w:val="ListBullet"/>
      </w:pPr>
      <w:r>
        <w:rPr>
          <w:b/>
        </w:rPr>
        <w:t>Оценка эффективности на фоне терапии.</w:t>
      </w:r>
      <w:r>
        <w:t xml:space="preserve"> Консенсус: ежегодная </w:t>
      </w:r>
      <w:r>
        <w:rPr>
          <w:b/>
        </w:rPr>
        <w:t>стресс-ЭКГ/ВЭМ на фоне терапии</w:t>
      </w:r>
      <w:r>
        <w:t xml:space="preserve"> как инструмент рестратификации и подтверждения эффективности (а не первичной диагностики). Это позволит ответить на вопрос «титровать ли дальше». В реальности тесты не делаются почти нигде; альтернативы (ручные ВЭМ, ЧПЭС, стресс-ЭхоКГ) — нишевые.</w:t>
      </w:r>
    </w:p>
    <w:p>
      <w:pPr>
        <w:pStyle w:val="ListBullet"/>
      </w:pPr>
      <w:r>
        <w:rPr>
          <w:b/>
        </w:rPr>
        <w:t>Фиксированные комбинации.</w:t>
      </w:r>
      <w:r>
        <w:t xml:space="preserve"> В инструкции Конкор АМ — старт со свободной комбинации, перевод на фиксированную после подбора доз; это позиция, которую группа разделяет. Клиническая эффективность фиксированных vs свободных — выше (US-регистр ≈300 тыс. госпитализированных с АГ: 9% на фиксированной, 91% на свободной; меньше ИМ и госпитализаций на фиксированных). Опасение Барбараш: фиксированные на старте без титрации — нельзя.</w:t>
      </w:r>
    </w:p>
    <w:p>
      <w:r>
        <w:rPr>
          <w:b/>
        </w:rPr>
        <w:t>Сложности:</w:t>
      </w:r>
      <w:r>
        <w:t xml:space="preserve"> у Конкор АМ нет показания ИБС; данных по скорости достижения целевой ЧСС нет; реальная практика игнорирует ЧСС (хирурги ведут на ЧКВ пациентов с ФК-2 на минимальной терапии); атипичная стенокардия у пациентов с СД делает ФК-оценку ненадёжной; без объективных опорных точек врач опирается только на симптом — рискованно.</w:t>
      </w:r>
    </w:p>
    <w:p/>
    <w:p>
      <w:pPr>
        <w:pStyle w:val="Heading1"/>
      </w:pPr>
      <w:r>
        <w:t>Блок 2. Программа конгресса (распределение тем и спикеров)</w:t>
      </w:r>
    </w:p>
    <w:p>
      <w:r>
        <w:rPr>
          <w:b/>
        </w:rPr>
        <w:t>Решили (распределение тем):</w:t>
      </w:r>
    </w:p>
    <w:p>
      <w:pPr>
        <w:pStyle w:val="ListBullet"/>
      </w:pPr>
      <w:r>
        <w:rPr>
          <w:b/>
        </w:rPr>
        <w:t>«От безболевой ишемии до симптомной стенокардии»</w:t>
      </w:r>
      <w:r>
        <w:t xml:space="preserve"> — О.Л. Барбараш (берёт сама).</w:t>
      </w:r>
    </w:p>
    <w:p>
      <w:pPr>
        <w:pStyle w:val="ListBullet"/>
      </w:pPr>
      <w:r>
        <w:rPr>
          <w:b/>
        </w:rPr>
        <w:t>Тема №3</w:t>
      </w:r>
      <w:r>
        <w:t xml:space="preserve"> (по протоколу встречи) — В.В. Кашталап.</w:t>
      </w:r>
    </w:p>
    <w:p>
      <w:pPr>
        <w:pStyle w:val="ListBullet"/>
      </w:pPr>
      <w:r>
        <w:rPr>
          <w:b/>
        </w:rPr>
        <w:t>Тема по целевой ЧСС / целевым дозам</w:t>
      </w:r>
      <w:r>
        <w:t xml:space="preserve"> (с опорой на мета-анализы) — кандидат: Козелова.</w:t>
      </w:r>
    </w:p>
    <w:p>
      <w:pPr>
        <w:pStyle w:val="ListBullet"/>
      </w:pPr>
      <w:r>
        <w:rPr>
          <w:b/>
        </w:rPr>
        <w:t>Тема по АД</w:t>
      </w:r>
      <w:r>
        <w:t xml:space="preserve"> — кандидат: С.В. Виллевальде («выбираем между Козеловой и Виллевальде»; Виллевальде «по давлению хорошо поговорит»).</w:t>
      </w:r>
    </w:p>
    <w:p>
      <w:pPr>
        <w:pStyle w:val="ListBullet"/>
      </w:pPr>
      <w:r>
        <w:rPr>
          <w:b/>
        </w:rPr>
        <w:t>Москва:</w:t>
      </w:r>
      <w:r>
        <w:t xml:space="preserve"> Ю.А. Карпов — да, активно. Мария Генриховна — нет (по стилю). М.М. Петрова, Н.Г. Гоголашвили — рассматриваются как лекторы школы ИБС, на конгресс пока не утверждены. Скибицкий — отклонён.</w:t>
      </w:r>
    </w:p>
    <w:p>
      <w:pPr>
        <w:pStyle w:val="ListBullet"/>
      </w:pPr>
      <w:r>
        <w:t>Согласование с Козеловой/Виллевальде делает Барбараш.</w:t>
      </w:r>
    </w:p>
    <w:p>
      <w:r>
        <w:rPr>
          <w:b/>
        </w:rPr>
        <w:t>Сложности:</w:t>
      </w:r>
      <w:r>
        <w:t xml:space="preserve"> дефицит спикеров из Новосибирска (Гражданкин — нос по ветру, компромиссный; Воськова — на стыке кардиологии/эндокринологии, по ИБС не уверена); конкуренция за топовых лекторов между конгрессами.</w:t>
      </w:r>
    </w:p>
    <w:p/>
    <w:p>
      <w:pPr>
        <w:pStyle w:val="Heading1"/>
      </w:pPr>
      <w:r>
        <w:t>Блок 3. Согласительный документ по фиксированным комбинациям и рабочая группа</w:t>
      </w:r>
    </w:p>
    <w:p>
      <w:r>
        <w:rPr>
          <w:b/>
        </w:rPr>
        <w:t>Обсуждали</w:t>
      </w:r>
      <w:r>
        <w:t xml:space="preserve"> перенос в согласительный документ того, что не помещается в КР: ранний старт комбинации (свободной на подборе → фиксированной после титрации), фенотипы с приоритетом ЧСС-контроля, нагрузочные тесты для оценки эффективности, опорные точки (см. Блок 1).</w:t>
      </w:r>
    </w:p>
    <w:p>
      <w:r>
        <w:rPr>
          <w:b/>
        </w:rPr>
        <w:t>Состав рабочей группы (та же, что работает над КР):</w:t>
      </w:r>
      <w:r>
        <w:t xml:space="preserve"> Барбараш, Кашталап, Аронов, А.А. Бощенко (Томск, визуализация), Ю.А. Карпов (Москва), Козелова, С.С. Якушин (Рязань), О.Ю. Кореннова (Омск), Е.В. Протасов (Иркутск), М.М. Петрова, Н.Г. Гоголашвили (Красноярск — «пусть поспорит»); рассматривается С.В. Виллевальде. </w:t>
      </w:r>
      <w:r>
        <w:rPr>
          <w:b/>
        </w:rPr>
        <w:t>Отклонены:</w:t>
      </w:r>
      <w:r>
        <w:t xml:space="preserve"> Кисляк, Панов, Мария Генриховна, Скибицкий.</w:t>
      </w:r>
    </w:p>
    <w:p>
      <w:r>
        <w:rPr>
          <w:b/>
        </w:rPr>
        <w:t>Формат:</w:t>
      </w:r>
      <w:r>
        <w:t xml:space="preserve"> очный совет, осень (лето — отпуска); 3–4 коротких выступления + основное время на обсуждение; проект резолюции готовит Merck заранее и рассылает участникам; спикеры подают комментарии до встречи; аудио/видеофиксация.</w:t>
      </w:r>
    </w:p>
    <w:p>
      <w:r>
        <w:rPr>
          <w:b/>
        </w:rPr>
        <w:t>Сложности:</w:t>
      </w:r>
      <w:r>
        <w:t xml:space="preserve"> Merck не может выступать формальным организатором/спонсором — нужно «звучащее» научное прикрытие. Договорённость: легализация через </w:t>
      </w:r>
      <w:r>
        <w:rPr>
          <w:b/>
        </w:rPr>
        <w:t>РКО</w:t>
      </w:r>
      <w:r>
        <w:t xml:space="preserve"> (модель регистра «Сирена»: Эрлих / Дупляков / С. Бернс) либо через этический комитет НИИ Кашталапа. Е.А. Аронову — связаться с С.В. Виллевальде (через А. Ершову) и с А.О. Недогодой как представителем РКО.</w:t>
      </w:r>
    </w:p>
    <w:p/>
    <w:p>
      <w:pPr>
        <w:pStyle w:val="Heading1"/>
      </w:pPr>
      <w:r>
        <w:t>Блок 4. Наблюдательное исследование по Конкор АМ</w:t>
      </w:r>
    </w:p>
    <w:p>
      <w:r>
        <w:rPr>
          <w:b/>
        </w:rPr>
        <w:t>Проект:</w:t>
      </w:r>
      <w:r>
        <w:t xml:space="preserve"> простая наблюдательная программа (≈5 минут на анкету) по эффективности/переносимости Конкор АМ в реальной практике; опора на уже запущенную программу Merck «Кардионавигатор» — отбор активно набирающих врачей.</w:t>
      </w:r>
    </w:p>
    <w:p>
      <w:r>
        <w:rPr>
          <w:b/>
        </w:rPr>
        <w:t>Решили:</w:t>
      </w:r>
    </w:p>
    <w:p>
      <w:pPr>
        <w:pStyle w:val="ListBullet"/>
      </w:pPr>
      <w:r>
        <w:t xml:space="preserve">Формат — </w:t>
      </w:r>
      <w:r>
        <w:rPr>
          <w:b/>
        </w:rPr>
        <w:t>наблюдательное исследование/регистр под эгидой РКО</w:t>
      </w:r>
      <w:r>
        <w:t xml:space="preserve"> (модель «Сирены»); не ограничиваться одним регионом (Кузбасс — возможная стартовая площадка, не закрывает географию).</w:t>
      </w:r>
    </w:p>
    <w:p>
      <w:pPr>
        <w:pStyle w:val="ListBullet"/>
      </w:pPr>
      <w:r>
        <w:t>Терминология: «эффективность + переносимость» (не «безопасность»).</w:t>
      </w:r>
    </w:p>
    <w:p>
      <w:pPr>
        <w:pStyle w:val="ListBullet"/>
      </w:pPr>
      <w:r>
        <w:t>Е.А. Аронов уточнит детали с С.В. Виллевальде и через Таничеву разместит анонс на сайте РКО (как Дупляков с «Сиреной-2»).</w:t>
      </w:r>
    </w:p>
    <w:p>
      <w:pPr>
        <w:pStyle w:val="ListBullet"/>
      </w:pPr>
      <w:r>
        <w:t>Этическое одобрение — возможно через ЭК НИИ Кашталапа.</w:t>
      </w:r>
    </w:p>
    <w:p>
      <w:r>
        <w:rPr>
          <w:b/>
        </w:rPr>
        <w:t>Сложности:</w:t>
      </w:r>
      <w:r>
        <w:t xml:space="preserve"> препарат покупается пациентами (800–1000 ₽/мес) — фильтр по финансовой доступности; Merck не платит врачам напрямую (только через РКО); без формального научного куратора врачи под протокол не подпишутся; по проекту, ранее отправленному Таничевой, обратной связи не получено — нужен выход на А.О. Недогоду.</w:t>
      </w:r>
    </w:p>
    <w:p/>
    <w:p>
      <w:r>
        <w:rPr>
          <w:b/>
        </w:rPr>
        <w:t>Источники:</w:t>
      </w:r>
      <w:r>
        <w:t xml:space="preserve"> аудиозапись встречи от 2026-05-20 (расшифровка диктофонной записи, обработка Claude).</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