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52"/>
        </w:rPr>
        <w:t>ШКОЛА ИБС</w:t>
      </w:r>
    </w:p>
    <w:p>
      <w:pPr>
        <w:jc w:val="center"/>
      </w:pPr>
      <w:r>
        <w:rPr>
          <w:color w:val="555555"/>
          <w:sz w:val="26"/>
        </w:rPr>
        <w:t>Программа образовательного дня — версия 3.0</w:t>
      </w:r>
    </w:p>
    <w:p>
      <w:pPr>
        <w:jc w:val="center"/>
      </w:pPr>
      <w:r>
        <w:rPr>
          <w:sz w:val="22"/>
        </w:rPr>
        <w:t>Новосибирск  •  17 июня 2026  •  15:00–19:00 (4 часа)</w:t>
        <w:br/>
        <w:t>Аудитория: кардиологи (приоритетно), терапевты</w:t>
        <w:br/>
        <w:t>Эксперты: Гражданкин И.О., Кашталап В.В.</w:t>
      </w:r>
    </w:p>
    <w:p>
      <w:pPr>
        <w:jc w:val="center"/>
      </w:pPr>
      <w:r>
        <w:rPr>
          <w:i/>
          <w:color w:val="555555"/>
          <w:sz w:val="18"/>
        </w:rPr>
        <w:t>Мероприятие проводится при поддержке компании Merck. Информация, предоставляемая лекторами, не обязательно отражает мнение и взгляды компании. (Слайд раскрытия — первый в деке кейсов.)</w:t>
      </w:r>
    </w:p>
    <w:p/>
    <w:p>
      <w:pPr>
        <w:pStyle w:val="Heading2"/>
      </w:pPr>
      <w:r>
        <w:rPr>
          <w:color w:val="1F3B5C"/>
        </w:rPr>
        <w:t>Стратегический фокус дня</w:t>
      </w:r>
    </w:p>
    <w:p>
      <w:r>
        <w:rPr>
          <w:b w:val="0"/>
          <w:i w:val="0"/>
        </w:rPr>
        <w:t>Сквозной клинический образ — стенокардия напряжения на фоне артериальной гипертензии. Часть 1 (диагностика) и Часть 2 (терапия) подводят слушателя к достижению целевой дозы бисопролола 10 мг и обоснованному применению фиксированной комбинации бисопролол + амлодипин (Конкор® АМ); клинические кейсы (Часть 3) интегрируют оба блока.</w:t>
      </w:r>
    </w:p>
    <w:p>
      <w:r>
        <w:rPr>
          <w:b w:val="0"/>
          <w:i/>
          <w:color w:val="555555"/>
        </w:rPr>
        <w:t>Рамка гайдлайнов: основной источник — КР МЗ РФ «Стабильная ИБС» 2024 и «АГ у взрослых» 2024. ESC 2024 CCS привлекается там, где КР РФ не дают позиции или формулировки расходятся, — с явной маркировкой источника.</w:t>
      </w:r>
    </w:p>
    <w:p>
      <w:pPr>
        <w:pStyle w:val="Heading2"/>
      </w:pPr>
      <w:r>
        <w:rPr>
          <w:color w:val="1F3B5C"/>
        </w:rPr>
        <w:t>Сводный хронометраж (240 минут)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Мин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Ведущий</w:t>
            </w:r>
          </w:p>
        </w:tc>
      </w:tr>
      <w:tr>
        <w:tc>
          <w:tcPr>
            <w:tcW w:type="dxa" w:w="1728"/>
          </w:tcPr>
          <w:p>
            <w:r>
              <w:t>15:00–15:05</w:t>
            </w:r>
          </w:p>
        </w:tc>
        <w:tc>
          <w:tcPr>
            <w:tcW w:type="dxa" w:w="1728"/>
          </w:tcPr>
          <w:p>
            <w:r>
              <w:t>Открытие, дисклеймер, цели дня</w:t>
            </w:r>
          </w:p>
        </w:tc>
        <w:tc>
          <w:tcPr>
            <w:tcW w:type="dxa" w:w="1728"/>
          </w:tcPr>
          <w:p>
            <w:r>
              <w:t>вступление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Модератор</w:t>
            </w:r>
          </w:p>
        </w:tc>
      </w:tr>
      <w:tr>
        <w:tc>
          <w:tcPr>
            <w:tcW w:type="dxa" w:w="1728"/>
          </w:tcPr>
          <w:p>
            <w:r>
              <w:t>15:05–16:35</w:t>
            </w:r>
          </w:p>
        </w:tc>
        <w:tc>
          <w:tcPr>
            <w:tcW w:type="dxa" w:w="1728"/>
          </w:tcPr>
          <w:p>
            <w:r>
              <w:t>ЧАСТЬ 1. Диагностика и стратификация риска ИБС</w:t>
            </w:r>
          </w:p>
        </w:tc>
        <w:tc>
          <w:tcPr>
            <w:tcW w:type="dxa" w:w="1728"/>
          </w:tcPr>
          <w:p>
            <w:r>
              <w:t>лекция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Гражданкин И.О.</w:t>
            </w:r>
          </w:p>
        </w:tc>
      </w:tr>
      <w:tr>
        <w:tc>
          <w:tcPr>
            <w:tcW w:type="dxa" w:w="1728"/>
          </w:tcPr>
          <w:p>
            <w:r>
              <w:t>16:35–17:05</w:t>
            </w:r>
          </w:p>
        </w:tc>
        <w:tc>
          <w:tcPr>
            <w:tcW w:type="dxa" w:w="1728"/>
          </w:tcPr>
          <w:p>
            <w:r>
              <w:t>Вопросы — ответы / модерируемая дискуссия</w:t>
            </w:r>
          </w:p>
        </w:tc>
        <w:tc>
          <w:tcPr>
            <w:tcW w:type="dxa" w:w="1728"/>
          </w:tcPr>
          <w:p>
            <w:r>
              <w:t>дискуссия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Гражданкин И.О.</w:t>
            </w:r>
          </w:p>
        </w:tc>
      </w:tr>
      <w:tr>
        <w:tc>
          <w:tcPr>
            <w:tcW w:type="dxa" w:w="1728"/>
          </w:tcPr>
          <w:p>
            <w:r>
              <w:t>17:05–17:20</w:t>
            </w:r>
          </w:p>
        </w:tc>
        <w:tc>
          <w:tcPr>
            <w:tcW w:type="dxa" w:w="1728"/>
          </w:tcPr>
          <w:p>
            <w:r>
              <w:t>Перерыв (кофе)</w:t>
            </w:r>
          </w:p>
        </w:tc>
        <w:tc>
          <w:tcPr>
            <w:tcW w:type="dxa" w:w="1728"/>
          </w:tcPr>
          <w:p>
            <w:r>
              <w:t>перерыв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17:20–18:10</w:t>
            </w:r>
          </w:p>
        </w:tc>
        <w:tc>
          <w:tcPr>
            <w:tcW w:type="dxa" w:w="1728"/>
          </w:tcPr>
          <w:p>
            <w:r>
              <w:t>ЧАСТЬ 2. Терапия ИБС: бисопролол и Конкор® АМ</w:t>
            </w:r>
          </w:p>
        </w:tc>
        <w:tc>
          <w:tcPr>
            <w:tcW w:type="dxa" w:w="1728"/>
          </w:tcPr>
          <w:p>
            <w:r>
              <w:t>лекция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Кашталап В.В.</w:t>
            </w:r>
          </w:p>
        </w:tc>
      </w:tr>
      <w:tr>
        <w:tc>
          <w:tcPr>
            <w:tcW w:type="dxa" w:w="1728"/>
          </w:tcPr>
          <w:p>
            <w:r>
              <w:t>18:10–18:20</w:t>
            </w:r>
          </w:p>
        </w:tc>
        <w:tc>
          <w:tcPr>
            <w:tcW w:type="dxa" w:w="1728"/>
          </w:tcPr>
          <w:p>
            <w:r>
              <w:t>Вопросы — ответы / дискуссия</w:t>
            </w:r>
          </w:p>
        </w:tc>
        <w:tc>
          <w:tcPr>
            <w:tcW w:type="dxa" w:w="1728"/>
          </w:tcPr>
          <w:p>
            <w:r>
              <w:t>дискуссия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Кашталап В.В.</w:t>
            </w:r>
          </w:p>
        </w:tc>
      </w:tr>
      <w:tr>
        <w:tc>
          <w:tcPr>
            <w:tcW w:type="dxa" w:w="1728"/>
          </w:tcPr>
          <w:p>
            <w:r>
              <w:t>18:20–19:00</w:t>
            </w:r>
          </w:p>
        </w:tc>
        <w:tc>
          <w:tcPr>
            <w:tcW w:type="dxa" w:w="1728"/>
          </w:tcPr>
          <w:p>
            <w:r>
              <w:t>ЧАСТЬ 3. Клинические кейсы (4 кейса, голосования)</w:t>
            </w:r>
          </w:p>
        </w:tc>
        <w:tc>
          <w:tcPr>
            <w:tcW w:type="dxa" w:w="1728"/>
          </w:tcPr>
          <w:p>
            <w:r>
              <w:t>интерактив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Кашталап В.В. + Гражданкин И.О.</w:t>
            </w:r>
          </w:p>
        </w:tc>
      </w:tr>
    </w:tbl>
    <w:p>
      <w:r>
        <w:rPr>
          <w:b w:val="0"/>
          <w:i/>
          <w:color w:val="555555"/>
        </w:rPr>
        <w:t>Итого: 5 + 90 + 30 + 15 + 50 + 10 + 40 = 240 минут.</w:t>
      </w:r>
    </w:p>
    <w:p>
      <w:r>
        <w:rPr>
          <w:b w:val="0"/>
          <w:i/>
          <w:color w:val="555555"/>
        </w:rPr>
        <w:t>Примечание по перерыву: блок Гражданкина И.О. идёт единым 90-минутным потоком по просьбе лектора. При необходимости лектор может взять неформальную 3–5-минутную паузу «на ноги» на естественном стыке — после блока про предтестовую вероятность (≈слайд 42–44), перед нагрузочными методами, не нарушая общего тайминга.</w:t>
      </w:r>
    </w:p>
    <w:p>
      <w:r>
        <w:br w:type="page"/>
      </w:r>
    </w:p>
    <w:p>
      <w:pPr>
        <w:pStyle w:val="Heading1"/>
      </w:pPr>
      <w:r>
        <w:rPr>
          <w:color w:val="1F3B5C"/>
        </w:rPr>
        <w:t>ЧАСТЬ 1. Диагностика и стратификация риска ИБС</w:t>
      </w:r>
    </w:p>
    <w:p>
      <w:r>
        <w:rPr>
          <w:b/>
          <w:i w:val="0"/>
        </w:rPr>
        <w:t>Лектор: Гражданкин И.О.  •  90 мин лекции + 30 мин вопросов-ответов.</w:t>
      </w:r>
    </w:p>
    <w:p>
      <w:r>
        <w:rPr>
          <w:b w:val="0"/>
          <w:i w:val="0"/>
        </w:rPr>
        <w:t>Цель блока: выстроить единый алгоритм «предтестовая вероятность → выбор метода обследования → решение об ОМТ или реваскуляризации».</w:t>
      </w:r>
    </w:p>
    <w:p>
      <w:r>
        <w:rPr>
          <w:b/>
          <w:i w:val="0"/>
        </w:rPr>
        <w:t>Логика изложения (по ходу деки, 63 слайда):</w:t>
      </w:r>
    </w:p>
    <w:p>
      <w:pPr>
        <w:pStyle w:val="ListBullet"/>
      </w:pPr>
      <w:r>
        <w:rPr>
          <w:b/>
        </w:rPr>
        <w:t xml:space="preserve">1) Что такое ИБС/ХКС. </w:t>
      </w:r>
      <w:r>
        <w:t>определение и формы ИБС / ХКС; общие положения по стабильному атеросклерозу коронарных артерий; когда реваскуляризация для облегчения симптомов, а когда — для улучшения прогноза; поражение ствола ЛКА.</w:t>
      </w:r>
    </w:p>
    <w:p>
      <w:pPr>
        <w:pStyle w:val="ListBullet"/>
      </w:pPr>
      <w:r>
        <w:rPr>
          <w:b/>
        </w:rPr>
        <w:t xml:space="preserve">2) Ключевая концепция «Бляшка или ишемия». </w:t>
      </w:r>
      <w:r>
        <w:t>бремя атеросклероза, а не отдельный стеноз, — главный предиктор сердечно-сосудистых событий. Сквозная идея всего дня.</w:t>
      </w:r>
    </w:p>
    <w:p>
      <w:pPr>
        <w:pStyle w:val="ListBullet"/>
      </w:pPr>
      <w:r>
        <w:rPr>
          <w:b/>
        </w:rPr>
        <w:t xml:space="preserve">3) Методы диагностики. </w:t>
      </w:r>
      <w:r>
        <w:t>обзор методов диагностики ишемии; МСКТ-коронарография и инвазивная КГ как «золотой стандарт» анатомии; первичная диагностическая тактика.</w:t>
      </w:r>
    </w:p>
    <w:p>
      <w:pPr>
        <w:pStyle w:val="ListBullet"/>
      </w:pPr>
      <w:r>
        <w:rPr>
          <w:b/>
        </w:rPr>
        <w:t xml:space="preserve">4) Коронарный кальций (CAC). </w:t>
      </w:r>
      <w:r>
        <w:t>основы, кому показан, роль в оценке риска и реклассификации липидной терапии.</w:t>
      </w:r>
    </w:p>
    <w:p>
      <w:pPr>
        <w:pStyle w:val="ListBullet"/>
      </w:pPr>
      <w:r>
        <w:rPr>
          <w:b/>
        </w:rPr>
        <w:t xml:space="preserve">5) Клиника. </w:t>
      </w:r>
      <w:r>
        <w:t>стенокардия и её функциональные классы; 5 детерминант постановки диагноза в практике.</w:t>
      </w:r>
    </w:p>
    <w:p>
      <w:pPr>
        <w:pStyle w:val="ListBullet"/>
      </w:pPr>
      <w:r>
        <w:rPr>
          <w:b/>
        </w:rPr>
        <w:t xml:space="preserve">6) Предтестовая вероятность (ПТВ). </w:t>
      </w:r>
      <w:r>
        <w:t>суть и зачем; таблицы РКО 2024; эволюция от ESC 2013 (отказ от 4-категорийной схемы); диапазоны клинической вероятности для подтверждения (rule-in) и исключения (rule-out) обструкции.</w:t>
      </w:r>
    </w:p>
    <w:p>
      <w:pPr>
        <w:pStyle w:val="ListBullet"/>
      </w:pPr>
      <w:r>
        <w:rPr>
          <w:b/>
        </w:rPr>
        <w:t xml:space="preserve">7) Нагрузочные и визуализирующие методы. </w:t>
      </w:r>
      <w:r>
        <w:t>физиология стресс-тестов; критерии высокого риска событий и критерии риска ССО (Таблица ПА3-4 КР МЗ РФ); стресс-ЭхоКГ / стресс-ОФЭКТ / стресс-МРТ; КТ-коронарография; фракционный резерв кровотока (ФРК).</w:t>
      </w:r>
    </w:p>
    <w:p>
      <w:pPr>
        <w:pStyle w:val="ListBullet"/>
      </w:pPr>
      <w:r>
        <w:rPr>
          <w:b/>
        </w:rPr>
        <w:t xml:space="preserve">8) Заключение. </w:t>
      </w:r>
      <w:r>
        <w:t>интеграция «ПТВ → метод → решение об ОМТ или реваскуляризации».</w:t>
      </w:r>
    </w:p>
    <w:p>
      <w:pPr>
        <w:pStyle w:val="Heading2"/>
      </w:pPr>
      <w:r>
        <w:rPr>
          <w:color w:val="1F3B5C"/>
        </w:rPr>
        <w:t>Вопросы — ответы / дискуссия после Части 1 (30 мин) — опорные точки</w:t>
      </w:r>
    </w:p>
    <w:p>
      <w:r>
        <w:rPr>
          <w:b/>
          <w:i w:val="0"/>
        </w:rPr>
        <w:t>Обязательно к обсуждению:</w:t>
      </w:r>
    </w:p>
    <w:p>
      <w:pPr>
        <w:pStyle w:val="ListBullet"/>
      </w:pPr>
      <w:r>
        <w:t>Расхождение КР МЗ РФ vs ESC 2024 (RF-CL) в оценке ПТВ: разные пороги (≤5 / 5–15 / &gt;15 %), что брать за основу в рутинной практике; как трактовать группу «одышка как основной/единственный эквивалент».</w:t>
      </w:r>
    </w:p>
    <w:p>
      <w:pPr>
        <w:pStyle w:val="ListBullet"/>
      </w:pPr>
      <w:r>
        <w:t>Коронарный кальций: кому реально назначать; «сила нуля» (CAC = 0) как мощный rule-out; CAC как фильтр-этап перед стресс-визуализацией и как триггер реклассификации целевого ХС-ЛНП.</w:t>
      </w:r>
    </w:p>
    <w:p>
      <w:pPr>
        <w:pStyle w:val="ListBullet"/>
      </w:pPr>
      <w:r>
        <w:t>Выбор метода под задачу: МСКТ-КГ сильнее «исключает» (низкая ПТВ), стресс-методы сильнее «подтверждают» (умеренная/высокая ПТВ, вероятна реваскуляризация). Реальная доступность ОФЭКТ / стресс-ЭхоКГ / МСКТ-КГ в регионе.</w:t>
      </w:r>
    </w:p>
    <w:p>
      <w:r>
        <w:rPr>
          <w:b/>
          <w:i w:val="0"/>
          <w:color w:val="555555"/>
        </w:rPr>
        <w:t>Предложения от себя (кардиолог):</w:t>
      </w:r>
    </w:p>
    <w:p>
      <w:pPr>
        <w:pStyle w:val="ListBullet"/>
      </w:pPr>
      <w:r>
        <w:t>Что именно означает «высокий риск по визуализации» для маршрутизации: это сигнал к стратификации, а НЕ автоматическое показание к инвазии. Важный нюанс КР МЗ РФ: стресс-ЭхоКГ (по числу сегментов) не входит в перечень показаний к реваскуляризации — прогностический функциональный критерий там сформулирован как «&gt;10 % площади ЛЖ» (перфузия: ОФЭКТ/ПЭТ/МРТ) или значимый ФРК/МРК. Это прямой мост к Кейсам 2–4.</w:t>
      </w:r>
    </w:p>
    <w:p>
      <w:pPr>
        <w:pStyle w:val="ListBullet"/>
      </w:pPr>
      <w:r>
        <w:t>Положительная нагрузочная ЭКГ ≠ верифицированная обструктивная ИБС: типичная ловушка (разворачивается в Кейсе 3).</w:t>
      </w:r>
    </w:p>
    <w:p>
      <w:r>
        <w:br w:type="page"/>
      </w:r>
    </w:p>
    <w:p>
      <w:pPr>
        <w:pStyle w:val="Heading1"/>
      </w:pPr>
      <w:r>
        <w:rPr>
          <w:color w:val="1F3B5C"/>
        </w:rPr>
        <w:t>ЧАСТЬ 2. Терапия ИБС: бисопролол и Конкор® АМ</w:t>
      </w:r>
    </w:p>
    <w:p>
      <w:r>
        <w:rPr>
          <w:b/>
          <w:i w:val="0"/>
        </w:rPr>
        <w:t>Лектор: Кашталап В.В.  •  50 мин лекции + 10 мин вопросов-ответов; внутри лекции — 2 интерактива с Гражданкиным И.О.</w:t>
      </w:r>
    </w:p>
    <w:p>
      <w:r>
        <w:rPr>
          <w:b w:val="0"/>
          <w:i w:val="0"/>
        </w:rPr>
        <w:t>Цель блока: обосновать выбор бисопролола, целевую дозу 10 мг и переход к фиксированной комбинации с амлодипином; разобрать безопасность при коморбидностях.</w:t>
      </w:r>
    </w:p>
    <w:p>
      <w:r>
        <w:rPr>
          <w:b/>
          <w:i w:val="0"/>
        </w:rPr>
        <w:t>Логика изложения (по ходу деки, 70 слайдов):</w:t>
      </w:r>
    </w:p>
    <w:p>
      <w:pPr>
        <w:pStyle w:val="ListBullet"/>
      </w:pPr>
      <w:r>
        <w:rPr>
          <w:b/>
        </w:rPr>
        <w:t xml:space="preserve">1) С чего начинать. </w:t>
      </w:r>
      <w:r>
        <w:t>механизмы ишемии миокарда; ESC 2024 — выбор антиишемической терапии по клиническому профилю пациента, а не по жёсткой ступенчатой схеме.</w:t>
      </w:r>
    </w:p>
    <w:p>
      <w:pPr>
        <w:pStyle w:val="ListBullet"/>
      </w:pPr>
      <w:r>
        <w:rPr>
          <w:b/>
        </w:rPr>
        <w:t xml:space="preserve">2) Комбинация выбора. </w:t>
      </w:r>
      <w:r>
        <w:t>β-блокатор + дигидропиридиновый БКК — комбинация выбора (мета-анализ 90 РКИ); прямая рекомендация фиксированной комбинации при ХКС.</w:t>
      </w:r>
    </w:p>
    <w:p>
      <w:pPr>
        <w:pStyle w:val="ListBullet"/>
      </w:pPr>
      <w:r>
        <w:rPr>
          <w:b/>
        </w:rPr>
        <w:t xml:space="preserve">3) Бисопролол как молекула. </w:t>
      </w:r>
      <w:r>
        <w:t>β1-селективность, амфофильность, преимущества, место в классе.</w:t>
      </w:r>
    </w:p>
    <w:p>
      <w:pPr>
        <w:pStyle w:val="ListBullet"/>
      </w:pPr>
      <w:r>
        <w:rPr>
          <w:b/>
        </w:rPr>
        <w:t xml:space="preserve">4) Оптимальная медикаментозная терапия (ОМТ). </w:t>
      </w:r>
      <w:r>
        <w:t>ОМТ сегодня; β-блокаторы при стабильной ИБС без СН и недавнего ИМ снижают композитный риск; комплементарная сосудистая защита бисопролол + амлодипин.</w:t>
      </w:r>
    </w:p>
    <w:p>
      <w:pPr>
        <w:pStyle w:val="ListBullet"/>
      </w:pPr>
      <w:r>
        <w:rPr>
          <w:b/>
        </w:rPr>
        <w:t xml:space="preserve">5) ОМТ в эпоху реваскуляризации. </w:t>
      </w:r>
      <w:r>
        <w:t>ISCHEMIA (2020) и ORBITA (2018); решение о реваскуляризации — по анатомии, объёму ишемии и симптомам, а не по факту наличия ИБС.</w:t>
      </w:r>
    </w:p>
    <w:p>
      <w:pPr>
        <w:pStyle w:val="ListBullet"/>
      </w:pPr>
      <w:r>
        <w:rPr>
          <w:b/>
        </w:rPr>
        <w:t xml:space="preserve">6) Конкор® АМ и приверженность. </w:t>
      </w:r>
      <w:r>
        <w:t>данные по фиксированным комбинациям и приверженности; «контроль vs иллюзия контроля» при раздельной терапии; портрет пациента для FDC; развенчание мифа о вечернем приёме антигипертензивных.</w:t>
      </w:r>
    </w:p>
    <w:p>
      <w:pPr>
        <w:pStyle w:val="ListBullet"/>
      </w:pPr>
      <w:r>
        <w:rPr>
          <w:b/>
        </w:rPr>
        <w:t xml:space="preserve">7) Ишемия без обструкции. </w:t>
      </w:r>
      <w:r>
        <w:t>ANOCA/INOCA — стенокардия/ишемия без обструкции: микрососудистый эндотип, бисопролол + амлодипин как связка; при вазоспазме — осторожность.</w:t>
      </w:r>
    </w:p>
    <w:p>
      <w:pPr>
        <w:pStyle w:val="ListBullet"/>
      </w:pPr>
      <w:r>
        <w:rPr>
          <w:b/>
        </w:rPr>
        <w:t xml:space="preserve">8) Безопасность при коморбидностях. </w:t>
      </w:r>
      <w:r>
        <w:t>безопасность бисопролола как основа безопасности Конкор® АМ — PAD, ХОБЛ, ХСН, ХБП, гемодиализ.</w:t>
      </w:r>
    </w:p>
    <w:p>
      <w:r>
        <w:rPr>
          <w:b/>
          <w:i w:val="0"/>
        </w:rPr>
        <w:t>Встроенные интерактивы (инициирует Кашталап В.В., обращаясь к Гражданкину И.О.):</w:t>
      </w:r>
    </w:p>
    <w:p>
      <w:pPr>
        <w:pStyle w:val="ListBullet"/>
      </w:pPr>
      <w:r>
        <w:rPr>
          <w:b/>
        </w:rPr>
        <w:t xml:space="preserve">Интерактив 1. </w:t>
      </w:r>
      <w:r>
        <w:t>Приём препаратов при нагрузочных пробах — отменять ли β-блокатор перед пробой и чем подстраховать пациента (увязать с первичной диагностикой vs оценкой остаточной ишемии на терапии).</w:t>
      </w:r>
    </w:p>
    <w:p>
      <w:pPr>
        <w:pStyle w:val="ListBullet"/>
      </w:pPr>
      <w:r>
        <w:rPr>
          <w:b/>
        </w:rPr>
        <w:t xml:space="preserve">Интерактив 2. </w:t>
      </w:r>
      <w:r>
        <w:t>Безопасность бисопролола как основа безопасности Конкор® АМ — практический разбор коморбидностей (ХОБЛ, PAD, ХСН, ХБП/гемодиализ).</w:t>
      </w:r>
    </w:p>
    <w:p>
      <w:pPr>
        <w:pStyle w:val="Heading2"/>
      </w:pPr>
      <w:r>
        <w:rPr>
          <w:color w:val="1F3B5C"/>
        </w:rPr>
        <w:t>Вопросы — ответы / дискуссия после Части 2 (10 мин) — опорные точки</w:t>
      </w:r>
    </w:p>
    <w:p>
      <w:r>
        <w:rPr>
          <w:b/>
          <w:i w:val="0"/>
        </w:rPr>
        <w:t>Обязательно к обсуждению:</w:t>
      </w:r>
    </w:p>
    <w:p>
      <w:pPr>
        <w:pStyle w:val="ListBullet"/>
      </w:pPr>
      <w:r>
        <w:t>Целевая доза бисопролола 10 мг и целевая ЧСС (≈55–60 уд/мин): как часто реально достигается, где «застревают» на 2,5–5 мг и почему; роль фиксированной комбинации в удержании целевых доз обоих компонентов.</w:t>
      </w:r>
    </w:p>
    <w:p>
      <w:pPr>
        <w:pStyle w:val="ListBullet"/>
      </w:pPr>
      <w:r>
        <w:t>β-блокаторы при ХОБЛ: реальные страхи врачей vs данные по β1-селективному бисопрололу (увязка с Кейсом 3).</w:t>
      </w:r>
    </w:p>
    <w:p>
      <w:r>
        <w:rPr>
          <w:b/>
          <w:i w:val="0"/>
          <w:color w:val="555555"/>
        </w:rPr>
        <w:t>Предложения от себя (кардиолог):</w:t>
      </w:r>
    </w:p>
    <w:p>
      <w:pPr>
        <w:pStyle w:val="ListBullet"/>
      </w:pPr>
      <w:r>
        <w:t>Фиксированная комбинация vs раздельная терапия: приверженность и «иллюзия контроля»; когда раздельная титрация всё же оправдана (этап подбора доз).</w:t>
      </w:r>
    </w:p>
    <w:p>
      <w:pPr>
        <w:pStyle w:val="ListBullet"/>
      </w:pPr>
      <w:r>
        <w:t>Бисопролол при СД2: метаболическая нейтральность высокоселективных β1-блокаторов; миф о «маскировке гипогликемии» — что реально, что преувеличено (мост к Кейсу 2).</w:t>
      </w:r>
    </w:p>
    <w:p>
      <w:pPr>
        <w:pStyle w:val="ListBullet"/>
      </w:pPr>
      <w:r>
        <w:t>ANOCA/INOCA — когда заподозрить «ишемию без обструкции» и базовая тактика; место связки бисопролол + амлодипин.</w:t>
      </w:r>
    </w:p>
    <w:p>
      <w:r>
        <w:br w:type="page"/>
      </w:r>
    </w:p>
    <w:p>
      <w:pPr>
        <w:pStyle w:val="Heading1"/>
      </w:pPr>
      <w:r>
        <w:rPr>
          <w:color w:val="1F3B5C"/>
        </w:rPr>
        <w:t>ЧАСТЬ 3. Клинические кейсы</w:t>
      </w:r>
    </w:p>
    <w:p>
      <w:r>
        <w:rPr>
          <w:b/>
          <w:i w:val="0"/>
        </w:rPr>
        <w:t>Модераторы: Кашталап В.В. + Гражданкин И.О.  •  40 мин: 4 кейса с голосованиями аудитории.</w:t>
      </w:r>
    </w:p>
    <w:p>
      <w:r>
        <w:rPr>
          <w:b w:val="0"/>
          <w:i w:val="0"/>
        </w:rPr>
        <w:t>Каждый кейс интегрирует диагностику (Часть 1) и терапию (Часть 2) и заканчивается развилкой принятия решения. Формат блочный: завязка → голосование → разбор; ~10 мин на кейс.</w:t>
      </w:r>
    </w:p>
    <w:p>
      <w:pPr>
        <w:pStyle w:val="ListBullet"/>
      </w:pPr>
      <w:r>
        <w:rPr>
          <w:b/>
        </w:rPr>
        <w:t xml:space="preserve">Кейс 1. </w:t>
      </w:r>
      <w:r>
        <w:t>Мужчина 58 лет, АГ → впервые стенокардия. ПТВ → стресс-ЭхоКГ → подтверждение обструктивной природы (2 сегмента, умеренный риск) → ОМТ как первая стратегия → пошаговый переход на Конкор® АМ.</w:t>
      </w:r>
    </w:p>
    <w:p>
      <w:pPr>
        <w:pStyle w:val="ListBullet"/>
      </w:pPr>
      <w:r>
        <w:rPr>
          <w:b/>
        </w:rPr>
        <w:t xml:space="preserve">Кейс 2. </w:t>
      </w:r>
      <w:r>
        <w:t>Женщина 64 года, СД2, одышка как эквивалент стенокардии, ФК III. Низкая ПТВ → коронарный кальций как фильтр-этап (CAC = 302) → стресс-ЭхоКГ (3 сегмента, высокий риск) → тем не менее ОМТ-first (логика ISCHEMIA; ФВ сохранна, ствол ЛКА чист), КАГ — при недостижении целей ОМТ. Дидактический нерв: высокий риск ≠ автоматическая инвазия.</w:t>
      </w:r>
    </w:p>
    <w:p>
      <w:pPr>
        <w:pStyle w:val="ListBullet"/>
      </w:pPr>
      <w:r>
        <w:rPr>
          <w:b/>
        </w:rPr>
        <w:t xml:space="preserve">Кейс 3. </w:t>
      </w:r>
      <w:r>
        <w:t>Мужчина 62 года, ХОБЛ; диагноз ИБС выставлен год назад только по нагрузочной ЭКГ. Переоценка → выбор метода → стресс-ЭхоКГ на фоне β-блокатора (4 сегмента, высокий риск) → эскалация ОМТ + КАГ/ФРК (0,68) → ЧКВ; безопасность бисопролола при ХОБЛ.</w:t>
      </w:r>
    </w:p>
    <w:p>
      <w:pPr>
        <w:pStyle w:val="ListBullet"/>
      </w:pPr>
      <w:r>
        <w:rPr>
          <w:b/>
        </w:rPr>
        <w:t xml:space="preserve">Кейс 4. </w:t>
      </w:r>
      <w:r>
        <w:t>Женщина 64 года, «серая зона» реваскуляризации: двухсосудистое поражение без ствола ЛКА/проксимальной ПНА, ишемия ≈8 % по ОФЭКТ, ФРК не выполнялся. «Стеноз ≠ показание» → интенсификация ОМТ (бисопролол 5→10, ЧСС→60), симптомы ушли → стент не нужен → переход на Конкор® АМ.</w:t>
      </w:r>
    </w:p>
    <w:p>
      <w:pPr>
        <w:pStyle w:val="Heading2"/>
      </w:pPr>
      <w:r>
        <w:rPr>
          <w:color w:val="1F3B5C"/>
        </w:rPr>
        <w:t>Центральный спор дня (обязательно развернуть на кейсах)</w:t>
      </w:r>
    </w:p>
    <w:p>
      <w:r>
        <w:rPr>
          <w:b w:val="0"/>
          <w:i/>
        </w:rPr>
        <w:t>Высокий риск ишемии по визуализации → инвазия или ОМТ-first? Сопоставить ISCHEMIA (инвазивная стратегия не превосходит ОМТ при сохранной ФВ и без поражения ствола ЛКА) и КР МЗ РФ; подчеркнуть, что стресс-ЭхоКГ (по сегментам) не входит в прогностические показания к реваскуляризации по КР МЗ РФ (там — «&gt;10 % площади ЛЖ» по перфузии или значимый ФРК/МРК). Вывод: «стеноз ≠ показание», маршрутизацию определяют объём ишемии, анатомия и симптомы на фоне оптимальной ОМТ. Глубокий клинч КР РФ vs ESC по порогу ишемии для данной аудитории намеренно не разворачиваем.</w:t>
      </w:r>
    </w:p>
    <w:p>
      <w:pPr>
        <w:pStyle w:val="Heading2"/>
      </w:pPr>
      <w:r>
        <w:rPr>
          <w:color w:val="1F3B5C"/>
        </w:rPr>
        <w:t>Сквозной вывод дня</w:t>
      </w:r>
    </w:p>
    <w:p>
      <w:pPr>
        <w:pStyle w:val="ListBullet"/>
      </w:pPr>
      <w:r>
        <w:t>Диагноз и маршрутизация определяются предтестовой вероятностью, объёмом ишемии и анатомией — не самим фактом стеноза.</w:t>
      </w:r>
    </w:p>
    <w:p>
      <w:pPr>
        <w:pStyle w:val="ListBullet"/>
      </w:pPr>
      <w:r>
        <w:t>ОМТ — фундамент терапии стабильной ИБС; целевая доза бисопролола 10 мг; фиксированная комбинация (Конкор® АМ) повышает приверженность и удерживает целевые дозы обоих компонентов.</w:t>
      </w:r>
    </w:p>
    <w:p/>
    <w:p>
      <w:r>
        <w:rPr>
          <w:b w:val="0"/>
          <w:i/>
          <w:color w:val="555555"/>
          <w:sz w:val="18"/>
        </w:rPr>
        <w:t>Версия 3.0 от 16 июня 2026. Тайминг пересобран под запрос лектора (Гражданкин И.О.: 90 мин лекции + 30 мин вопросов-ответов). Источники содержания: КР МЗ РФ «Стабильная ИБС» 2024; «АГ у взрослых» 2024; «Нарушения липидного обмена» 2023; ESC 2024 CCS; ISCHEMIA (NEJM 2020); ORBITA / ORBITA-2; FAME / FAME-2; мета-анализ 90 РКИ по антиангинальной терапии; деки Гражданкина И.О., Кашталапа В.В. и клинических кейсов.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