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2.0</w:t>
      </w:r>
    </w:p>
    <w:p>
      <w:pPr>
        <w:jc w:val="center"/>
      </w:pPr>
      <w:r>
        <w:rPr>
          <w:i/>
          <w:color w:val="555555"/>
          <w:sz w:val="20"/>
        </w:rPr>
        <w:t>Новосибирск  •  17 июня 2026  •  15:00–19:00 (4 часа с перерывами)  •  Аудитория: кардиологи (приоритетно), терапевты  •  Эксперты: Гражданкин И.О., Кашталап В.В.</w:t>
      </w:r>
    </w:p>
    <w:p/>
    <w:p>
      <w:pPr>
        <w:pStyle w:val="Heading2"/>
      </w:pPr>
      <w:r>
        <w:rPr>
          <w:color w:val="1F3A68"/>
        </w:rPr>
        <w:t>Стратегический фокус</w:t>
      </w:r>
    </w:p>
    <w:p>
      <w:r>
        <w:rPr>
          <w:b w:val="0"/>
          <w:i/>
          <w:sz w:val="22"/>
        </w:rPr>
        <w:t>Сквозной клинический образ — стенокардия напряжения на фоне артериальной гипертензии. Диагностический блок (Часть 1) и терапевтический блок (Часть 2) подводят слушателя к достижению целевой дозы бисопролола 10 мг и обоснованному применению фиксированной комбинации бисопролол + амлодипин (Конкор АМ); клинические кейсы (Часть 3) интегрируют оба блока.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 (240 минут)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Длит.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Ведущий</w:t>
            </w:r>
          </w:p>
        </w:tc>
      </w:tr>
      <w:tr>
        <w:tc>
          <w:tcPr>
            <w:tcW w:type="dxa" w:w="2160"/>
          </w:tcPr>
          <w:p>
            <w:r>
              <w:t>15:00–15:05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голосований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15:05–15:50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</w:t>
            </w:r>
          </w:p>
        </w:tc>
        <w:tc>
          <w:tcPr>
            <w:tcW w:type="dxa" w:w="2160"/>
          </w:tcPr>
          <w:p>
            <w:r>
              <w:t>45 мин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15:50–16:00</w:t>
            </w:r>
          </w:p>
        </w:tc>
        <w:tc>
          <w:tcPr>
            <w:tcW w:type="dxa" w:w="2160"/>
          </w:tcPr>
          <w:p>
            <w:r>
              <w:t>Мини-перерыв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16:00–16:35</w:t>
            </w:r>
          </w:p>
        </w:tc>
        <w:tc>
          <w:tcPr>
            <w:tcW w:type="dxa" w:w="2160"/>
          </w:tcPr>
          <w:p>
            <w:r>
              <w:t>Часть 1B. Стресс-методы, реваскуляризация, заключение</w:t>
            </w:r>
          </w:p>
        </w:tc>
        <w:tc>
          <w:tcPr>
            <w:tcW w:type="dxa" w:w="2160"/>
          </w:tcPr>
          <w:p>
            <w:r>
              <w:t>35 мин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16:35–16:50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16:50–18:00</w:t>
            </w:r>
          </w:p>
        </w:tc>
        <w:tc>
          <w:tcPr>
            <w:tcW w:type="dxa" w:w="2160"/>
          </w:tcPr>
          <w:p>
            <w:r>
              <w:t>Часть 2. Терапия ИБС: бисопролол, Конкор АМ, безопасность (2 интерактива)</w:t>
            </w:r>
          </w:p>
        </w:tc>
        <w:tc>
          <w:tcPr>
            <w:tcW w:type="dxa" w:w="2160"/>
          </w:tcPr>
          <w:p>
            <w:r>
              <w:t>70 мин</w:t>
            </w:r>
          </w:p>
        </w:tc>
        <w:tc>
          <w:tcPr>
            <w:tcW w:type="dxa" w:w="2160"/>
          </w:tcPr>
          <w:p>
            <w:r>
              <w:t>Кашталап В.В.</w:t>
            </w:r>
          </w:p>
        </w:tc>
      </w:tr>
      <w:tr>
        <w:tc>
          <w:tcPr>
            <w:tcW w:type="dxa" w:w="2160"/>
          </w:tcPr>
          <w:p>
            <w:r>
              <w:t>18:00–18:05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18:05–18:55</w:t>
            </w:r>
          </w:p>
        </w:tc>
        <w:tc>
          <w:tcPr>
            <w:tcW w:type="dxa" w:w="2160"/>
          </w:tcPr>
          <w:p>
            <w:r>
              <w:t>Часть 3. Клинические кейсы (4 кейса с голосованиями)</w:t>
            </w:r>
          </w:p>
        </w:tc>
        <w:tc>
          <w:tcPr>
            <w:tcW w:type="dxa" w:w="2160"/>
          </w:tcPr>
          <w:p>
            <w:r>
              <w:t>50 мин</w:t>
            </w:r>
          </w:p>
        </w:tc>
        <w:tc>
          <w:tcPr>
            <w:tcW w:type="dxa" w:w="2160"/>
          </w:tcPr>
          <w:p>
            <w:r>
              <w:t>Кашталап В.В. + Гражданкин И.О.</w:t>
            </w:r>
          </w:p>
        </w:tc>
      </w:tr>
      <w:tr>
        <w:tc>
          <w:tcPr>
            <w:tcW w:type="dxa" w:w="2160"/>
          </w:tcPr>
          <w:p>
            <w:r>
              <w:t>18:55–19:00</w:t>
            </w:r>
          </w:p>
        </w:tc>
        <w:tc>
          <w:tcPr>
            <w:tcW w:type="dxa" w:w="2160"/>
          </w:tcPr>
          <w:p>
            <w:r>
              <w:t>Итоги дня, выводы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rPr>
          <w:b/>
          <w:i w:val="0"/>
          <w:sz w:val="20"/>
        </w:rPr>
        <w:t>Итого: 5 + 45 + 10 + 35 + 15 + 70 + 5 + 50 + 5 = 240 минут.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80 мин лекции (45 + 35) с мини-перерывом 10 мин.  Цель: выстроить алгоритм «предтестовая вероятность → метод обследования → решение об ОМТ или реваскуляризации».</w:t>
      </w:r>
    </w:p>
    <w:p/>
    <w:p>
      <w:pPr>
        <w:pStyle w:val="Heading3"/>
      </w:pPr>
      <w:r>
        <w:rPr>
          <w:color w:val="1F3A68"/>
        </w:rPr>
        <w:t>Часть 1A (15:05–15:50) — концепция, симптомы, предтестовая вероятность</w:t>
      </w:r>
    </w:p>
    <w:p>
      <w:pPr>
        <w:pStyle w:val="ListBullet"/>
      </w:pPr>
      <w:r>
        <w:t>Определение и формы ИБС / ХКС; стабильный атеросклероз коронарных артерий.</w:t>
      </w:r>
    </w:p>
    <w:p>
      <w:pPr>
        <w:pStyle w:val="ListBullet"/>
      </w:pPr>
      <w:r>
        <w:t>Концепция «бляшка или ишемия»: бремя атеросклероза, а не степень отдельного стеноза, — главный предиктор сердечно-сосудистых событий.</w:t>
      </w:r>
    </w:p>
    <w:p>
      <w:pPr>
        <w:pStyle w:val="ListBullet"/>
      </w:pPr>
      <w:r>
        <w:t>Обзор методов диагностики ишемии; место МСКТ- и инвазивной коронарографии как «золотого стандарта» анатомии.</w:t>
      </w:r>
    </w:p>
    <w:p>
      <w:pPr>
        <w:pStyle w:val="ListBullet"/>
      </w:pPr>
      <w:r>
        <w:t>Коронарный кальций (CAC): основы, кому показан, роль в оценке риска и реклассификации.</w:t>
      </w:r>
    </w:p>
    <w:p>
      <w:pPr>
        <w:pStyle w:val="ListBullet"/>
      </w:pPr>
      <w:r>
        <w:t>Клиника стенокардии, функциональные классы; 5 детерминант постановки диагноза в практике.</w:t>
      </w:r>
    </w:p>
    <w:p>
      <w:pPr>
        <w:pStyle w:val="ListBullet"/>
      </w:pPr>
      <w:r>
        <w:t>Предтестовая вероятность (ПТВ): суть; таблица РКО 2024; эволюция от ESC 2013 (отказ от 4-категорийной схемы); диапазоны клинической вероятности для подтверждения / исключения обструкции.</w:t>
      </w:r>
    </w:p>
    <w:p>
      <w:pPr>
        <w:pStyle w:val="Heading3"/>
      </w:pPr>
      <w:r>
        <w:rPr>
          <w:color w:val="1F3A68"/>
        </w:rPr>
        <w:t>Часть 1B (16:00–16:35) — нагрузочные методы и решение о реваскуляризации</w:t>
      </w:r>
    </w:p>
    <w:p>
      <w:pPr>
        <w:pStyle w:val="ListBullet"/>
      </w:pPr>
      <w:r>
        <w:t>Физиологические аспекты стресс-тестов; этапы принятия решений.</w:t>
      </w:r>
    </w:p>
    <w:p>
      <w:pPr>
        <w:pStyle w:val="ListBullet"/>
      </w:pPr>
      <w:r>
        <w:t>Критерии высокого риска событий по методам; критерии риска ССО (Таблица ПА3-4 КР МЗ РФ).</w:t>
      </w:r>
    </w:p>
    <w:p>
      <w:pPr>
        <w:pStyle w:val="ListBullet"/>
      </w:pPr>
      <w:r>
        <w:t>Стресс-ЭхоКГ / стресс-ОФЭКТ (сцинтиграфия) / стресс-МРТ — возможности и выбор метода.</w:t>
      </w:r>
    </w:p>
    <w:p>
      <w:pPr>
        <w:pStyle w:val="ListBullet"/>
      </w:pPr>
      <w:r>
        <w:t>КТ-коронарография; фракционный резерв кровотока (ФРК).</w:t>
      </w:r>
    </w:p>
    <w:p>
      <w:pPr>
        <w:pStyle w:val="ListBullet"/>
      </w:pPr>
      <w:r>
        <w:t>Заключение: интеграция «ПТВ → метод → решение».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70 мин, с двумя интерактивными обсуждениями с Гражданкиным И.О.  Цель: обосновать выбор бисопролола, целевую дозу 10 мг и переход к фиксированной комбинации с амлодипином; разобрать безопасность при коморбидностях.</w:t>
      </w:r>
    </w:p>
    <w:p/>
    <w:p>
      <w:pPr>
        <w:pStyle w:val="Heading3"/>
      </w:pPr>
      <w:r>
        <w:rPr>
          <w:color w:val="1F3A68"/>
        </w:rPr>
        <w:t>Содержание блока</w:t>
      </w:r>
    </w:p>
    <w:p>
      <w:pPr>
        <w:pStyle w:val="ListBullet"/>
      </w:pPr>
      <w:r>
        <w:t>Механизмы ишемии миокарда; ESC 2024 — выбор антиишемической терапии по клиническому профилю пациента, а не по жёсткой ступенчатой схеме.</w:t>
      </w:r>
    </w:p>
    <w:p>
      <w:pPr>
        <w:pStyle w:val="ListBullet"/>
      </w:pPr>
      <w:r>
        <w:t>С чего начинать антиангинальную терапию; БАБ + дигидропиридиновый БКК — комбинация выбора (мета-анализ 90 РКИ); прямая рекомендация фиксированной комбинации при ХКС.</w:t>
      </w:r>
    </w:p>
    <w:p>
      <w:pPr>
        <w:pStyle w:val="ListBullet"/>
      </w:pPr>
      <w:r>
        <w:t>Бисопролол как молекула: β1-селективность, амфофильность, преимущества; сравнение в классе.</w:t>
      </w:r>
    </w:p>
    <w:p>
      <w:pPr>
        <w:pStyle w:val="ListBullet"/>
      </w:pPr>
      <w:r>
        <w:t>Оптимальная медикаментозная терапия (ОМТ) сегодня; БАБ при стабильной ИБС без СН и недавнего ИМ — снижение композитного риска; комплементарность бисопролола и амлодипина.</w:t>
      </w:r>
    </w:p>
    <w:p>
      <w:pPr>
        <w:pStyle w:val="ListBullet"/>
      </w:pPr>
      <w:r>
        <w:t>ОМТ в эпоху реваскуляризации: ISCHEMIA (2020), ORBITA (2018); показания к реваскуляризации (анатомия + объём ишемии + симптомы).</w:t>
      </w:r>
    </w:p>
    <w:p>
      <w:pPr>
        <w:pStyle w:val="ListBullet"/>
      </w:pPr>
      <w:r>
        <w:t>Конкор АМ: данные по фиксированным комбинациям и приверженности; «контроль vs иллюзия контроля» при раздельной терапии; время приёма антигипертензивных препаратов.</w:t>
      </w:r>
    </w:p>
    <w:p>
      <w:pPr>
        <w:pStyle w:val="ListBullet"/>
      </w:pPr>
      <w:r>
        <w:t>Интерактив 1 (инициирует Кашталап В.В.): приём препаратов при нагрузочных пробах — отмена БАБ перед пробой, чем подстраховать пациента.</w:t>
      </w:r>
    </w:p>
    <w:p>
      <w:pPr>
        <w:pStyle w:val="ListBullet"/>
      </w:pPr>
      <w:r>
        <w:t>ANOCA/INOCA — стенокардия / ишемия без обструкции: микрососудистый эндотип, бисопролол + амлодипин как связка.</w:t>
      </w:r>
    </w:p>
    <w:p>
      <w:pPr>
        <w:pStyle w:val="ListBullet"/>
      </w:pPr>
      <w:r>
        <w:t>Интерактив 2 (инициирует Кашталап В.В.): безопасность бисопролола как основа безопасности Конкор АМ — атеросклероз периферических артерий (PAD), ХОБЛ, ХСН, ХБП, гемодиализ.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кейсы</w:t>
      </w:r>
    </w:p>
    <w:p>
      <w:r>
        <w:rPr>
          <w:b w:val="0"/>
          <w:i/>
          <w:sz w:val="22"/>
        </w:rPr>
        <w:t>Модераторы: Кашталап В.В. + Гражданкин И.О.  •  50 мин: 4 клинических кейса с голосованиями аудитории.  Каждый кейс интегрирует диагностику (Часть 1) и терапию (Часть 2) и заканчивается развилкой принятия решения.</w:t>
      </w:r>
    </w:p>
    <w:p/>
    <w:p>
      <w:pPr>
        <w:pStyle w:val="ListBullet"/>
      </w:pPr>
      <w:r>
        <w:t>Кейс 1. Пациент с АГ → впервые стенокардия. ПТВ → стресс-ЭхоКГ → подтверждение обструктивной природы → ОМТ как первая стратегия → пошаговый переход на Конкор АМ.</w:t>
      </w:r>
    </w:p>
    <w:p>
      <w:pPr>
        <w:pStyle w:val="ListBullet"/>
      </w:pPr>
      <w:r>
        <w:t>Кейс 2. Коморбидная пациентка (СД2), одышка как эквивалент стенокардии. ПТВ → коронарный кальций как фильтр-этап → стресс-визуализация (высокий риск, 3 сегмента) → маршрутизация на инвазивную диагностику / реваскуляризацию по показаниям.</w:t>
      </w:r>
    </w:p>
    <w:p>
      <w:pPr>
        <w:pStyle w:val="ListBullet"/>
      </w:pPr>
      <w:r>
        <w:t>Кейс 3. Пациент с ХОБЛ; диагноз ранее выставлен только по нагрузочной ЭКГ. Переоценка → стресс-ЭхоКГ (высокий риск, 4 сегмента) → КАГ + ФРК → ЧКВ → ОМТ + переход на Конкор АМ (безопасность БАБ при ХОБЛ).</w:t>
      </w:r>
    </w:p>
    <w:p>
      <w:pPr>
        <w:pStyle w:val="ListBullet"/>
      </w:pPr>
      <w:r>
        <w:t>Кейс 4. «Серая зона» реваскуляризации: двухсосудистое поражение без ствола ЛКА/проксимальной ПНА, субпороговая ишемия (&lt;10%). «Стеноз ≠ показание»: интенсификация ОМТ → ФРК при сохранении симптомов → переход на Конкор АМ.</w:t>
      </w:r>
    </w:p>
    <w:p/>
    <w:p>
      <w:pPr>
        <w:pStyle w:val="Heading3"/>
      </w:pPr>
      <w:r>
        <w:rPr>
          <w:color w:val="1F3A68"/>
        </w:rPr>
        <w:t>Сквозной вывод дня</w:t>
      </w:r>
    </w:p>
    <w:p>
      <w:pPr>
        <w:pStyle w:val="ListBullet"/>
      </w:pPr>
      <w:r>
        <w:t>Диагноз и маршрутизация определяются предтестовой вероятностью, объёмом ишемии и анатомией — не самим фактом стеноза.</w:t>
      </w:r>
    </w:p>
    <w:p>
      <w:pPr>
        <w:pStyle w:val="ListBullet"/>
      </w:pPr>
      <w:r>
        <w:t>ОМТ — фундамент терапии стабильной ИБС; целевая доза бисопролола 10 мг; фиксированная комбинация (Конкор АМ) повышает приверженность и удерживает целевые дозы обоих компонентов.</w:t>
      </w:r>
    </w:p>
    <w:p/>
    <w:p>
      <w:r>
        <w:rPr>
          <w:b w:val="0"/>
          <w:i/>
          <w:color w:val="808080"/>
          <w:sz w:val="18"/>
        </w:rPr>
        <w:t>Версия 2.0 от 16 июня 2026. Источники: КР МЗ РФ «Стабильная ИБС» 2024; «АГ у взрослых» 2024; «Нарушения липидного обмена» 2023; ESC 2024 CCS; ISCHEMIA (NEJM 2020); ORBITA / ORBITA-2; FAME / FAME-2; мета-анализ 90 РКИ по антиангинальной терапии; дека Конкор 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