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68"/>
          <w:sz w:val="44"/>
        </w:rPr>
        <w:t>ШКОЛА ИБС</w:t>
      </w:r>
    </w:p>
    <w:p>
      <w:pPr>
        <w:jc w:val="center"/>
      </w:pPr>
      <w:r>
        <w:rPr>
          <w:i/>
          <w:color w:val="555555"/>
          <w:sz w:val="28"/>
        </w:rPr>
        <w:t>Современные подходы к диагностике и терапии</w:t>
      </w:r>
    </w:p>
    <w:p>
      <w:pPr>
        <w:jc w:val="center"/>
      </w:pPr>
      <w:r>
        <w:rPr>
          <w:b/>
          <w:color w:val="1F3A68"/>
          <w:sz w:val="22"/>
        </w:rPr>
        <w:t>17 июня 2026  •  15:00–19:00  •  {Город}, {Площадка}</w:t>
      </w:r>
    </w:p>
    <w:p/>
    <w:p>
      <w:r>
        <w:rPr>
          <w:b/>
          <w:i w:val="0"/>
          <w:sz w:val="24"/>
        </w:rPr>
        <w:t>Уважаемые коллеги!</w:t>
      </w:r>
    </w:p>
    <w:p>
      <w:r>
        <w:rPr>
          <w:b w:val="0"/>
          <w:i w:val="0"/>
          <w:sz w:val="22"/>
        </w:rPr>
        <w:t>17 июня 2026 года в {Город} ({Площадка}) с 15:00 до 19:00 пройдёт Школа ИБС — образовательная встреча для кардиологов и терапевтов. Программа охватывает современную диагностику ишемической болезни сердца (включая хронические коронарные синдромы по ESC 2024 — от оценки симптомов и предтестовой вероятности до коронарного кальция, стресс-визуализации и решения о реваскуляризации) и обоснованный выбор терапии при стабильной ИБС, в том числе при наличии сопутствующих состояний. Рамка: КР МЗ РФ «Стабильная ИБС» 2024, КР МЗ РФ «АГ у взрослых» 2024, ESC 2024 CCS.</w:t>
      </w:r>
    </w:p>
    <w:p>
      <w:r>
        <w:rPr>
          <w:b/>
          <w:i w:val="0"/>
          <w:sz w:val="22"/>
        </w:rPr>
        <w:t>Эксперты — два ведущих специалиста в совместном разборе:</w:t>
      </w:r>
    </w:p>
    <w:p>
      <w:pPr>
        <w:pStyle w:val="ListBullet"/>
      </w:pPr>
      <w:r>
        <w:t>Гражданкин Игорь Олегович — к.м.н., врач высшей категории, заведующий кардиологическим отделением и руководитель Регионального сосудистого центра ЦКБ (г. Новосибирск). Диагностический блок.</w:t>
      </w:r>
    </w:p>
    <w:p>
      <w:pPr>
        <w:pStyle w:val="ListBullet"/>
      </w:pPr>
      <w:r>
        <w:t>Кашталап Василий Васильевич — д.м.н., профессор, профессор РАН, заведующий отделом клинической кардиологии НИИ КПССЗ, профессор кафедры кардиологии и ССХ Кемеровского ГМУ, помощник вице-президента Российского кардиологического общества. Терапевтический блок.</w:t>
      </w:r>
    </w:p>
    <w:p>
      <w:r>
        <w:rPr>
          <w:b/>
          <w:i w:val="0"/>
          <w:sz w:val="22"/>
        </w:rPr>
        <w:t>Особенности формата:</w:t>
      </w:r>
    </w:p>
    <w:p>
      <w:pPr>
        <w:pStyle w:val="ListBullet"/>
      </w:pPr>
      <w:r>
        <w:t>Два интерактивных обсуждения между лекторами по сложным вопросам ежедневной практики, где гайдлайны и клиническая реальность не всегда совпадают.</w:t>
      </w:r>
    </w:p>
    <w:p>
      <w:pPr>
        <w:pStyle w:val="ListBullet"/>
      </w:pPr>
      <w:r>
        <w:t>4 клинических разбора из реальной практики врача-кардиолога — с анонимным голосованием аудитории и последующим разбором по актуальным рекомендациям.</w:t>
      </w:r>
    </w:p>
    <w:p>
      <w:pPr>
        <w:pStyle w:val="ListBullet"/>
      </w:pPr>
      <w:r>
        <w:t>Обновлённые данные по бета-адреноблокаторам у коморбидных пациентов (ХОБЛ — PACE 2026; ХБП — Wu 2021; СД2 — Maccabi 2025).</w:t>
      </w:r>
    </w:p>
    <w:p>
      <w:r>
        <w:rPr>
          <w:b w:val="0"/>
          <w:i/>
          <w:sz w:val="22"/>
        </w:rPr>
        <w:t>Очный формат, без онлайн-трансляции. Количество мест ограничено.</w:t>
      </w:r>
    </w:p>
    <w:p/>
    <w:p>
      <w:r>
        <w:rPr>
          <w:b/>
          <w:i w:val="0"/>
          <w:color w:val="C0392B"/>
          <w:sz w:val="22"/>
        </w:rPr>
        <w:t>Регистрация: до {Дата регистрации} — у Вашего медицинского представителя {имя представителя, телефон} или по ссылке {ссылка}.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