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0eb67ef29f30fa7972303e766b66f6138c4b42"/>
    <w:p>
      <w:pPr>
        <w:pStyle w:val="Heading1"/>
      </w:pPr>
      <w:r>
        <w:t xml:space="preserve">Клинический кейс 4 — Конкор НСТ 5/6,25 (перименопаузальная АГ + гиперсимпатикотония)</w:t>
      </w:r>
    </w:p>
    <w:p>
      <w:pPr>
        <w:pStyle w:val="FirstParagraph"/>
      </w:pPr>
      <w:r>
        <w:rPr>
          <w:bCs/>
          <w:b/>
        </w:rPr>
        <w:t xml:space="preserve">Препарат:</w:t>
      </w:r>
      <w:r>
        <w:t xml:space="preserve"> </w:t>
      </w:r>
      <w:r>
        <w:t xml:space="preserve">Конкор НСТ 5/6,25.</w:t>
      </w:r>
      <w:r>
        <w:t xml:space="preserve"> </w:t>
      </w:r>
      <w:r>
        <w:rPr>
          <w:bCs/>
          <w:b/>
        </w:rPr>
        <w:t xml:space="preserve">Маркетинговая задача:</w:t>
      </w:r>
      <w:r>
        <w:t xml:space="preserve"> </w:t>
      </w:r>
      <w:r>
        <w:t xml:space="preserve">позиционирование Конкор НСТ 5/6,25 у перименопаузальной женщины с дестабилизацией АГ на фоне гиперсимпатикотонии — добавление к периндоприлу при недостаточном контроле; акцент — двухосевой контроль (симпатика + объём) + метаболическая безопасность дозы 6,25 + приверженность.</w:t>
      </w:r>
      <w:r>
        <w:t xml:space="preserve"> </w:t>
      </w:r>
      <w:r>
        <w:rPr>
          <w:bCs/>
          <w:b/>
        </w:rPr>
        <w:t xml:space="preserve">Рамка гайдлайнов:</w:t>
      </w:r>
      <w:r>
        <w:t xml:space="preserve"> </w:t>
      </w:r>
      <w:r>
        <w:t xml:space="preserve">КР МЗ РФ 2024 (АГ), КР МЗ РФ 2023 (нарушения липидного обмена), ОХЛП Конкор НСТ.</w:t>
      </w:r>
      <w:r>
        <w:t xml:space="preserve"> </w:t>
      </w:r>
      <w:r>
        <w:rPr>
          <w:bCs/>
          <w:b/>
        </w:rPr>
        <w:t xml:space="preserve">Аудитория:</w:t>
      </w:r>
      <w:r>
        <w:t xml:space="preserve"> </w:t>
      </w:r>
      <w:r>
        <w:t xml:space="preserve">кардиологи + терапевты, медпред-визит.</w:t>
      </w:r>
      <w:r>
        <w:t xml:space="preserve"> </w:t>
      </w:r>
      <w:r>
        <w:rPr>
          <w:bCs/>
          <w:b/>
        </w:rPr>
        <w:t xml:space="preserve">Off-label дисклеймер:</w:t>
      </w:r>
      <w:r>
        <w:t xml:space="preserve"> </w:t>
      </w:r>
      <w:r>
        <w:t xml:space="preserve">не требуется (показание — АГ; ИБС нет).</w:t>
      </w:r>
    </w:p>
    <w:p>
      <w:pPr>
        <w:pStyle w:val="BlockText"/>
      </w:pPr>
      <w:r>
        <w:t xml:space="preserve">Версия 1.0 — после совета (артефакты</w:t>
      </w:r>
      <w:r>
        <w:t xml:space="preserve"> </w:t>
      </w:r>
      <w:r>
        <w:rPr>
          <w:rStyle w:val="VerbatimChar"/>
        </w:rPr>
        <w:t xml:space="preserve">council-report-2026-06-24_061639.html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council-transcript-2026-06-24_061639.md</w:t>
      </w:r>
      <w:r>
        <w:t xml:space="preserve">). Применены пользовательские решения по всем открытым пунктам.</w:t>
      </w:r>
    </w:p>
    <w:p>
      <w:r>
        <w:pict>
          <v:rect style="width:0;height:1.5pt" o:hralign="center" o:hrstd="t" o:hr="t"/>
        </w:pict>
      </w:r>
    </w:p>
    <w:bookmarkStart w:id="20" w:name="слайд-1-титул"/>
    <w:p>
      <w:pPr>
        <w:pStyle w:val="Heading2"/>
      </w:pPr>
      <w:r>
        <w:t xml:space="preserve">Слайд 1 — Титул</w:t>
      </w:r>
    </w:p>
    <w:p>
      <w:pPr>
        <w:pStyle w:val="FirstParagraph"/>
      </w:pPr>
      <w:r>
        <w:rPr>
          <w:bCs/>
          <w:b/>
        </w:rPr>
        <w:t xml:space="preserve">Пациентка М., женщина, 51 год.</w:t>
      </w:r>
    </w:p>
    <w:p>
      <w:r>
        <w:pict>
          <v:rect style="width:0;height:1.5pt" o:hralign="center" o:hrstd="t" o:hr="t"/>
        </w:pict>
      </w:r>
    </w:p>
    <w:bookmarkEnd w:id="20"/>
    <w:bookmarkStart w:id="21" w:name="слайд-2-анамнез"/>
    <w:p>
      <w:pPr>
        <w:pStyle w:val="Heading2"/>
      </w:pPr>
      <w:r>
        <w:t xml:space="preserve">Слайд 2 — Анамнез</w:t>
      </w:r>
    </w:p>
    <w:p>
      <w:pPr>
        <w:pStyle w:val="FirstParagraph"/>
      </w:pPr>
      <w:r>
        <w:rPr>
          <w:bCs/>
          <w:b/>
        </w:rPr>
        <w:t xml:space="preserve">ЖАЛОБЫ:</w:t>
      </w:r>
      <w:r>
        <w:t xml:space="preserve"> </w:t>
      </w:r>
      <w:r>
        <w:t xml:space="preserve">учащённое сердцебиение, ощущение частого пульса, в том числе в покое (до 90–100 уд/мин), усилившееся за последние 2–3 мес. Приливы жара, потливость, нарушение сна, эмоциональная лабильность, эпизоды тревоги. Снижение переносимости нагрузок за счёт сердцебиения; ангинозных болей нет.</w:t>
      </w:r>
    </w:p>
    <w:p>
      <w:pPr>
        <w:pStyle w:val="BodyText"/>
      </w:pPr>
      <w:r>
        <w:rPr>
          <w:bCs/>
          <w:b/>
        </w:rPr>
        <w:t xml:space="preserve">АНАМНЕЗ ЗАБОЛЕВАНИЯ:</w:t>
      </w:r>
      <w:r>
        <w:t xml:space="preserve"> </w:t>
      </w:r>
      <w:r>
        <w:t xml:space="preserve">АГ известна около 4 лет. На фоне периндоприла 8 мг/сут АД устойчиво контролировалось в пределах целевых значений (привычно 125–130/80 мм рт.ст.), терапия в коррекции не нуждалась. В течение последних 2–3 мес — дестабилизация: подъёмы АД до 150–160/95 мм рт.ст., учащение пульса (до 90–100 уд/мин, в том числе в покое), сердцебиение. Одновременно — нерегулярный менструальный цикл и вазомоторные симптомы. Ухудшение контроля АД и ЧСС хронологически совпало с дебютом климактерических жалоб; ранее подобных эпизодов не было.</w:t>
      </w:r>
    </w:p>
    <w:p>
      <w:pPr>
        <w:pStyle w:val="BodyText"/>
      </w:pPr>
      <w:r>
        <w:rPr>
          <w:bCs/>
          <w:b/>
        </w:rPr>
        <w:t xml:space="preserve">ТЕКУЩАЯ ТЕРАПИЯ:</w:t>
      </w:r>
      <w:r>
        <w:t xml:space="preserve"> </w:t>
      </w:r>
      <w:r>
        <w:t xml:space="preserve">периндоприл 8 мг/сут утром.</w:t>
      </w:r>
    </w:p>
    <w:p>
      <w:pPr>
        <w:pStyle w:val="BodyText"/>
      </w:pPr>
      <w:r>
        <w:rPr>
          <w:bCs/>
          <w:b/>
        </w:rPr>
        <w:t xml:space="preserve">АНАМНЕЗ ЖИЗНИ:</w:t>
      </w:r>
      <w:r>
        <w:t xml:space="preserve"> </w:t>
      </w:r>
      <w:r>
        <w:t xml:space="preserve">рост 165 см, вес 70 кг (ИМТ 25,7 — избыточная масса). Не курит. МГТ не получает.</w:t>
      </w:r>
      <w:r>
        <w:t xml:space="preserve"> </w:t>
      </w:r>
      <w:r>
        <w:rPr>
          <w:bCs/>
          <w:b/>
        </w:rPr>
        <w:t xml:space="preserve">Беременность исключена</w:t>
      </w:r>
      <w:r>
        <w:t xml:space="preserve"> </w:t>
      </w:r>
      <w:r>
        <w:t xml:space="preserve">(β-ХГЧ отрицательный).</w:t>
      </w:r>
    </w:p>
    <w:p>
      <w:pPr>
        <w:pStyle w:val="BodyText"/>
      </w:pPr>
      <w:r>
        <w:rPr>
          <w:bCs/>
          <w:b/>
        </w:rPr>
        <w:t xml:space="preserve">ФАКТОРЫ РИСКА:</w:t>
      </w:r>
      <w:r>
        <w:t xml:space="preserve"> </w:t>
      </w:r>
      <w:r>
        <w:t xml:space="preserve">перименопауза; избыточная масса тела; дислипидемия; дестабилизация АГ; возраст. ИБС, СД, ИМ, инсульта нет.</w:t>
      </w:r>
    </w:p>
    <w:p>
      <w:pPr>
        <w:pStyle w:val="BodyText"/>
      </w:pPr>
      <w:r>
        <w:rPr>
          <w:bCs/>
          <w:b/>
        </w:rPr>
        <w:t xml:space="preserve">НАСЛЕДСТВЕННОСТЬ:</w:t>
      </w:r>
      <w:r>
        <w:t xml:space="preserve"> </w:t>
      </w:r>
      <w:r>
        <w:t xml:space="preserve">отягощена по АГ (мать).</w:t>
      </w:r>
    </w:p>
    <w:p>
      <w:r>
        <w:pict>
          <v:rect style="width:0;height:1.5pt" o:hralign="center" o:hrstd="t" o:hr="t"/>
        </w:pict>
      </w:r>
    </w:p>
    <w:bookmarkEnd w:id="21"/>
    <w:bookmarkStart w:id="22" w:name="слайд-3-обследование"/>
    <w:p>
      <w:pPr>
        <w:pStyle w:val="Heading2"/>
      </w:pPr>
      <w:r>
        <w:t xml:space="preserve">Слайд 3 — Обследование</w:t>
      </w:r>
    </w:p>
    <w:p>
      <w:pPr>
        <w:pStyle w:val="FirstParagraph"/>
      </w:pPr>
      <w:r>
        <w:rPr>
          <w:bCs/>
          <w:b/>
        </w:rPr>
        <w:t xml:space="preserve">ФИЗИКАЛЬНОЕ ОБСЛЕДОВАНИЕ:</w:t>
      </w:r>
      <w:r>
        <w:t xml:space="preserve"> </w:t>
      </w:r>
      <w:r>
        <w:t xml:space="preserve">АД</w:t>
      </w:r>
      <w:r>
        <w:t xml:space="preserve"> </w:t>
      </w:r>
      <w:r>
        <w:rPr>
          <w:bCs/>
          <w:b/>
        </w:rPr>
        <w:t xml:space="preserve">150/90 мм рт.ст.</w:t>
      </w:r>
      <w:r>
        <w:t xml:space="preserve"> </w:t>
      </w:r>
      <w:r>
        <w:t xml:space="preserve">на приёме (мягкая АГ, 1 степень). ЧСС 92 уд/мин, пульс ритмичный. Тоны сердца ясные, акцент II тона над аортой. Дыхание везикулярное. Отёков нет.</w:t>
      </w:r>
    </w:p>
    <w:p>
      <w:pPr>
        <w:pStyle w:val="BodyText"/>
      </w:pPr>
      <w:r>
        <w:rPr>
          <w:bCs/>
          <w:b/>
        </w:rPr>
        <w:t xml:space="preserve">ИНСТРУМЕНТАЛЬНЫЕ ИССЛЕДОВАНИЯ: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ЭКГ покоя:</w:t>
      </w:r>
      <w:r>
        <w:t xml:space="preserve"> </w:t>
      </w:r>
      <w:r>
        <w:t xml:space="preserve">синусовая тахикардия (92 уд/мин), начальные признаки ГЛЖ, без ишемических изменений.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ЭхоКГ покоя:</w:t>
      </w:r>
      <w:r>
        <w:t xml:space="preserve"> </w:t>
      </w:r>
      <w:r>
        <w:t xml:space="preserve">ФВ ЛЖ 63% (сохранена); ИММЛЖ 97 г/м² (норма для женщин ≤95 → минимальная ГЛЖ); ОТС 0,43 (начальная концентрическая ГЛЖ); ЛП не расширено; диастолическая функция не нарушена; зон асинергии нет; клапаны интактны.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Холтер-ЭКГ:</w:t>
      </w:r>
      <w:r>
        <w:t xml:space="preserve"> </w:t>
      </w:r>
      <w:r>
        <w:t xml:space="preserve">синусовый ритм; средняя ЧСС/сут 88, средняя дневная 96, средняя ночная 70, макс. 138 (приливы/нагрузка),</w:t>
      </w:r>
      <w:r>
        <w:t xml:space="preserve"> </w:t>
      </w:r>
      <w:r>
        <w:rPr>
          <w:bCs/>
          <w:b/>
        </w:rPr>
        <w:t xml:space="preserve">мин. 67</w:t>
      </w:r>
      <w:r>
        <w:t xml:space="preserve">; эпизоды синусовой тахикардии в покое; пауз, аритмий, нарушений проводимости, ишемической динамики ST нет.</w:t>
      </w:r>
    </w:p>
    <w:p>
      <w:pPr>
        <w:pStyle w:val="BodyText"/>
      </w:pPr>
      <w:r>
        <w:rPr>
          <w:bCs/>
          <w:b/>
        </w:rPr>
        <w:t xml:space="preserve">ЛАБОРАТОРНЫЕ ИССЛЕДОВАНИЯ:</w:t>
      </w:r>
      <w:r>
        <w:t xml:space="preserve"> </w:t>
      </w:r>
      <w:r>
        <w:t xml:space="preserve">ТТГ 1,9 мМЕ/л (норма — тиреогенная причина тахикардии исключена).</w:t>
      </w:r>
      <w:r>
        <w:t xml:space="preserve"> </w:t>
      </w:r>
      <w:r>
        <w:rPr>
          <w:bCs/>
          <w:b/>
        </w:rPr>
        <w:t xml:space="preserve">Гемоглобин 132 г/л (норма для женщин — анемия как причина тахикардии исключена).</w:t>
      </w:r>
      <w:r>
        <w:t xml:space="preserve"> </w:t>
      </w:r>
      <w:r>
        <w:t xml:space="preserve">Глюкоза натощак 5,2; HbA1c 5,4% (норма). Калий 4,4 ммоль/л. Мочевая кислота 290 мкмоль/л (норма — исходный уровень для контроля на фоне тиазида). Креатинин в норме; СКФ CKD-EPI 90 (норма); альбумин/креатинин мочи 18 мг/г (А1). Липидограмма: ОХС 5,3; ЛНП 3,4 (повышен); ЛВП 1,4; ТГ 1,2 ммоль/л (Фридевальд сходится: 5,3 − 1,4 − 1,2/2,2 = 3,355 ≈ 3,4).</w:t>
      </w:r>
    </w:p>
    <w:p>
      <w:pPr>
        <w:pStyle w:val="BodyText"/>
      </w:pPr>
      <w:r>
        <w:rPr>
          <w:bCs/>
          <w:b/>
        </w:rPr>
        <w:t xml:space="preserve">ДИАГНОЗ (КР МЗ РФ):</w:t>
      </w:r>
      <w:r>
        <w:t xml:space="preserve"> </w:t>
      </w:r>
      <w:r>
        <w:t xml:space="preserve">&gt; Гипертоническая болезнь II стадии (ПОМ: гипертрофия ЛЖ). Целевой уровень АД не достигнут. Риск 3 (высокий).</w:t>
      </w:r>
      <w:r>
        <w:t xml:space="preserve"> </w:t>
      </w:r>
      <w:r>
        <w:t xml:space="preserve">&gt; Синусовая тахикардия на фоне гиперсимпатикотонии в перименопаузе.</w:t>
      </w:r>
      <w:r>
        <w:t xml:space="preserve"> </w:t>
      </w:r>
      <w:r>
        <w:t xml:space="preserve">&gt; Дислипидемия IIa. Целевой уровень ХС-ЛНП не достигнут.</w:t>
      </w:r>
      <w:r>
        <w:t xml:space="preserve"> </w:t>
      </w:r>
      <w:r>
        <w:t xml:space="preserve">&gt; Перименопаузальный период. Климактерический синдром (вазомоторная форма).</w:t>
      </w:r>
      <w:r>
        <w:t xml:space="preserve"> </w:t>
      </w:r>
      <w:r>
        <w:t xml:space="preserve">&gt; Избыточная масса тела.</w:t>
      </w:r>
    </w:p>
    <w:p>
      <w:r>
        <w:pict>
          <v:rect style="width:0;height:1.5pt" o:hralign="center" o:hrstd="t" o:hr="t"/>
        </w:pict>
      </w:r>
    </w:p>
    <w:bookmarkEnd w:id="22"/>
    <w:bookmarkStart w:id="23" w:name="слайд-4-план-лечения"/>
    <w:p>
      <w:pPr>
        <w:pStyle w:val="Heading2"/>
      </w:pPr>
      <w:r>
        <w:t xml:space="preserve">Слайд 4 — План лечения</w:t>
      </w:r>
    </w:p>
    <w:p>
      <w:pPr>
        <w:pStyle w:val="FirstParagraph"/>
      </w:pPr>
      <w:r>
        <w:rPr>
          <w:bCs/>
          <w:b/>
        </w:rPr>
        <w:t xml:space="preserve">Назначение (одношаговое):</w:t>
      </w:r>
      <w:r>
        <w:t xml:space="preserve"> </w:t>
      </w:r>
      <w:r>
        <w:t xml:space="preserve">на фоне сохранения периндоприла 8 мг утром добавлены: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Конкор НСТ 5/6,25 мг</w:t>
      </w:r>
      <w:r>
        <w:t xml:space="preserve"> </w:t>
      </w:r>
      <w:r>
        <w:t xml:space="preserve">утром — фиксированная комбинация β1-селективного бисопролола и низкодозного тиазида;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Аторвастатин 20 мг / эзетимиб 10 мг</w:t>
      </w:r>
      <w:r>
        <w:t xml:space="preserve"> </w:t>
      </w:r>
      <w:r>
        <w:t xml:space="preserve">утром — комбинированная липидоснижающая терапия для достижения целевого уровня ХС-ЛНП &lt;1,8 ммоль/л при высоком риске (КР МЗ РФ 2023; начальный ЛНП 3,4 — требует &gt;50% снижения, ожидается на атор 20 + эзет 10).</w:t>
      </w:r>
    </w:p>
    <w:p>
      <w:pPr>
        <w:pStyle w:val="BodyText"/>
      </w:pPr>
      <w:r>
        <w:rPr>
          <w:bCs/>
          <w:b/>
        </w:rPr>
        <w:t xml:space="preserve">Логика комбинации:</w:t>
      </w:r>
      <w:r>
        <w:t xml:space="preserve"> </w:t>
      </w:r>
      <w:r>
        <w:t xml:space="preserve">периндоприл — РААС-ось (A); Конкор НСТ привносит диуретик (D, базовый партнёр комбинации) + β-блокатор (B) — последний по компелирующему показанию (синусовая тахикардия / гиперсимпатикотония), а не по поводу ИБС. Выбор ББ, а не дигидропиридинового БКК: ведущая жалоба — сердцебиение; ДГП с рефлекторной тахикардией усугубил бы симптом.</w:t>
      </w:r>
    </w:p>
    <w:p>
      <w:pPr>
        <w:pStyle w:val="BodyText"/>
      </w:pPr>
      <w:r>
        <w:rPr>
          <w:bCs/>
          <w:b/>
        </w:rPr>
        <w:t xml:space="preserve">Результат (через ~4 нед):</w:t>
      </w:r>
      <w:r>
        <w:t xml:space="preserve"> </w:t>
      </w:r>
      <w:r>
        <w:t xml:space="preserve">АД</w:t>
      </w:r>
      <w:r>
        <w:t xml:space="preserve"> </w:t>
      </w:r>
      <w:r>
        <w:rPr>
          <w:bCs/>
          <w:b/>
        </w:rPr>
        <w:t xml:space="preserve">130/80 мм рт.ст.</w:t>
      </w:r>
      <w:r>
        <w:t xml:space="preserve"> </w:t>
      </w:r>
      <w:r>
        <w:t xml:space="preserve">(целевой коридор для 18–64 лет ≤130/&lt;80 достигнут); ЧСС покоя 66 уд/мин; сердцебиение и вегетативная симптоматика регрессировали; калий 4,3, глюкоза и мочевая кислота без значимой динамики; ЛНП ~1,5 ммоль/л (целевой уровень при высоком риске достигнут на комбинированной липидоснижающей терапии).</w:t>
      </w:r>
    </w:p>
    <w:p>
      <w:pPr>
        <w:pStyle w:val="BodyText"/>
      </w:pPr>
      <w:r>
        <w:rPr>
          <w:bCs/>
          <w:b/>
        </w:rPr>
        <w:t xml:space="preserve">ПОЧЕМУ КОНКОР НСТ 5/6,25: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Двухосевой контроль перименопаузальной АГ.</w:t>
      </w:r>
      <w:r>
        <w:t xml:space="preserve"> </w:t>
      </w:r>
      <w:r>
        <w:t xml:space="preserve">Симпатическая ось (бисопролол) + натрий/объём-зависимая ось (ГХТЗ). Дрейф АГ к низкорениновой соль-зависимой форме после угасания эстрогенов — популяционная закономерность (Faulkner &amp; Belin de Chantemèle, Hypertension 2023; Schulman, Hypertension 2006), приводится как обоснование класса на уровне фенотипа, не как измеренный признак пациентки.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Метаболическая безопасность дозы 6,25 — ядро.</w:t>
      </w:r>
      <w:r>
        <w:t xml:space="preserve"> </w:t>
      </w:r>
      <w:r>
        <w:t xml:space="preserve">Клинически значимый рост урикемии начинается с доз ГХТЗ ~12,3 мг и выше; 6,25 мг ниже порога — значимого роста уратов/риска подагры не даёт (Peterzan, Hypertension 2012). Поддержано β1-селективностью бисопролола и сопутствующим РААС-блокатором (компенсирует гипокалиемию, влияет на инсулиночувствительность).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Дополнительные бенефиты (вторичные, наблюдательного уровня):</w:t>
      </w:r>
      <w:r>
        <w:t xml:space="preserve"> </w:t>
      </w:r>
      <w:r>
        <w:t xml:space="preserve">смягчение вегетативной симптоматики бисопрололом (Isayeva 2014 — ретроспективное, гипотеза-генерирующее; эффект значим в подгруппе с ИБС, у пациенток без ИБС слабее → вести мягко); костный бенефит ББ-оси (Bone 2007 — наблюдательно, ассоциация; ДИ риска переломов 0,30–0,99 пограничный); гипокальциурия тиазида.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Приверженность.</w:t>
      </w:r>
      <w:r>
        <w:t xml:space="preserve"> </w:t>
      </w:r>
      <w:r>
        <w:t xml:space="preserve">Единая таблетка 1 р/сут с момента инициации (SPC), без периода многотаблеточной схемы.</w:t>
      </w:r>
    </w:p>
    <w:p>
      <w:pPr>
        <w:pStyle w:val="FirstParagraph"/>
      </w:pPr>
      <w:r>
        <w:rPr>
          <w:bCs/>
          <w:b/>
        </w:rPr>
        <w:t xml:space="preserve">FAIR BALANCE:</w:t>
      </w:r>
      <w:r>
        <w:t xml:space="preserve"> </w:t>
      </w:r>
      <w:r>
        <w:t xml:space="preserve">- Тиазид даже в низкой дозе требует контроля натрия (гипонатриемия — повышенное внимание у женщин этого возраста, на 6,25 мг минимально), калия, гликемии; риск снижен низкой дозой + РААС-блокатором.</w:t>
      </w:r>
      <w:r>
        <w:t xml:space="preserve"> </w:t>
      </w:r>
      <w:r>
        <w:t xml:space="preserve">- Соль-чувствительность и костный бенефит — популяционные/наблюдательные данные, не дозо-доказанные свойства 6,25 мг.</w:t>
      </w:r>
      <w:r>
        <w:t xml:space="preserve"> </w:t>
      </w:r>
      <w:r>
        <w:t xml:space="preserve">- ЧСС 66 уд/мин — нормализация без симптомной брадикардии; исходная минимальная ЧСС по Холтеру 67 → дополнительное умеренное снижение на бисопрололе 5 мг ожидаемо и клинически приемлемо.</w:t>
      </w:r>
      <w:r>
        <w:t xml:space="preserve"> </w:t>
      </w:r>
      <w:r>
        <w:t xml:space="preserve">- Бисопролол — по показанию (тахикардия/гиперсимпатикотония), не по ИБС.</w:t>
      </w:r>
    </w:p>
    <w:p>
      <w:pPr>
        <w:pStyle w:val="BodyText"/>
      </w:pPr>
      <w:r>
        <w:rPr>
          <w:bCs/>
          <w:b/>
        </w:rPr>
        <w:t xml:space="preserve">РЕГУЛЯТОРНО:</w:t>
      </w:r>
      <w:r>
        <w:t xml:space="preserve"> </w:t>
      </w:r>
      <w:r>
        <w:t xml:space="preserve">Конкор НСТ зарегистрирован для лечения АГ; у пациентки без ИБС показание соблюдается полностью — off-label-дисклеймер не требуется.</w:t>
      </w:r>
    </w:p>
    <w:p>
      <w:r>
        <w:pict>
          <v:rect style="width:0;height:1.5pt" o:hralign="center" o:hrstd="t" o:hr="t"/>
        </w:pict>
      </w:r>
    </w:p>
    <w:bookmarkEnd w:id="23"/>
    <w:bookmarkStart w:id="24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2"/>
        </w:numPr>
        <w:pStyle w:val="Compact"/>
      </w:pPr>
      <w:r>
        <w:t xml:space="preserve">КР МЗ РФ 2024. Артериальная гипертензия у взрослых.</w:t>
      </w:r>
    </w:p>
    <w:p>
      <w:pPr>
        <w:numPr>
          <w:ilvl w:val="0"/>
          <w:numId w:val="1002"/>
        </w:numPr>
        <w:pStyle w:val="Compact"/>
      </w:pPr>
      <w:r>
        <w:t xml:space="preserve">КР МЗ РФ 2023. Нарушения липидного обмена.</w:t>
      </w:r>
    </w:p>
    <w:p>
      <w:pPr>
        <w:numPr>
          <w:ilvl w:val="0"/>
          <w:numId w:val="1002"/>
        </w:numPr>
        <w:pStyle w:val="Compact"/>
      </w:pPr>
      <w:r>
        <w:t xml:space="preserve">ОХЛП Конкор НСТ (ЛП-№011609-РГ-RU от 09.09.2025).</w:t>
      </w:r>
    </w:p>
    <w:p>
      <w:pPr>
        <w:numPr>
          <w:ilvl w:val="0"/>
          <w:numId w:val="1002"/>
        </w:numPr>
        <w:pStyle w:val="Compact"/>
      </w:pPr>
      <w:r>
        <w:t xml:space="preserve">Faulkner &amp; Belin de Chantemèle, Hypertension 2023 (популяционная база соль-чувствительности после менопаузы).</w:t>
      </w:r>
    </w:p>
    <w:p>
      <w:pPr>
        <w:numPr>
          <w:ilvl w:val="0"/>
          <w:numId w:val="1002"/>
        </w:numPr>
        <w:pStyle w:val="Compact"/>
      </w:pPr>
      <w:r>
        <w:t xml:space="preserve">Schulman, Hypertension 2006 (фенотип соль-чувствительной АГ).</w:t>
      </w:r>
    </w:p>
    <w:p>
      <w:pPr>
        <w:numPr>
          <w:ilvl w:val="0"/>
          <w:numId w:val="1002"/>
        </w:numPr>
        <w:pStyle w:val="Compact"/>
      </w:pPr>
      <w:r>
        <w:t xml:space="preserve">Peterzan, Hypertension 2012 (метаанализ; порог урикемии ~12,3 мг ГХТЗ).</w:t>
      </w:r>
    </w:p>
    <w:p>
      <w:pPr>
        <w:numPr>
          <w:ilvl w:val="0"/>
          <w:numId w:val="1002"/>
        </w:numPr>
        <w:pStyle w:val="Compact"/>
      </w:pPr>
      <w:r>
        <w:t xml:space="preserve">Isayeva, New Armenian Med J 2014;8:40–45 (наблюдательное; вегетативные симптомы на бисопрололе).</w:t>
      </w:r>
    </w:p>
    <w:p>
      <w:pPr>
        <w:numPr>
          <w:ilvl w:val="0"/>
          <w:numId w:val="1002"/>
        </w:numPr>
        <w:pStyle w:val="Compact"/>
      </w:pPr>
      <w:r>
        <w:t xml:space="preserve">Bone, 2007 DOI:10.1016/j.bone.2007.01.006 (наблюдательно; ДИ переломов 0,30–0,99).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2026-06-24T06:38:35Z</dcterms:created>
  <dcterms:modified xsi:type="dcterms:W3CDTF">2026-06-24T06:38:35Z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