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7cbabb43a64b714bbd10c8992b9f42e596239f"/>
    <w:p>
      <w:pPr>
        <w:pStyle w:val="Heading1"/>
      </w:pPr>
      <w:r>
        <w:t xml:space="preserve">Клинический кейс 2 — Конкор АМ 10/5 (АГ + стенокардия + пост-ИМ + СД2)</w:t>
      </w:r>
    </w:p>
    <w:p>
      <w:pPr>
        <w:pStyle w:val="FirstParagraph"/>
      </w:pPr>
      <w:r>
        <w:rPr>
          <w:bCs/>
          <w:b/>
        </w:rPr>
        <w:t xml:space="preserve">Препарат:</w:t>
      </w:r>
      <w:r>
        <w:t xml:space="preserve"> </w:t>
      </w:r>
      <w:r>
        <w:t xml:space="preserve">Конкор АМ 10/5</w:t>
      </w:r>
      <w:r>
        <w:t xml:space="preserve"> </w:t>
      </w:r>
      <w:r>
        <w:rPr>
          <w:bCs/>
          <w:b/>
        </w:rPr>
        <w:t xml:space="preserve">Маркетинговая задача:</w:t>
      </w:r>
      <w:r>
        <w:t xml:space="preserve"> </w:t>
      </w:r>
      <w:r>
        <w:t xml:space="preserve">позиционирование Конкор АМ у пациента с АГ + стабильной стенокардией + пост-ИМ + HFpEF + СД2 (компенсированный); акцент — приверженность при коморбидном СД2 с опорой на метаболическую нейтральность β1-селективного бисопролола. Маршрут: Конкор Кор 2,5 (стартовая стационарная доза после ИМ) → переход на Конкор 5 + добавление амлодипина 5 → титрация Конкора до 10 → switch на Конкор АМ 10/5; рамиприл и базовая терапия сохраняются.</w:t>
      </w:r>
      <w:r>
        <w:t xml:space="preserve"> </w:t>
      </w:r>
      <w:r>
        <w:rPr>
          <w:bCs/>
          <w:b/>
        </w:rPr>
        <w:t xml:space="preserve">Рамка гайдлайнов:</w:t>
      </w:r>
      <w:r>
        <w:t xml:space="preserve"> </w:t>
      </w:r>
      <w:r>
        <w:t xml:space="preserve">КР МЗ РФ 2024 (АГ, Стабильная ИБС, ХСН), КР МЗ РФ 2023 (нарушения липидного обмена).</w:t>
      </w:r>
      <w:r>
        <w:t xml:space="preserve"> </w:t>
      </w:r>
      <w:r>
        <w:rPr>
          <w:bCs/>
          <w:b/>
        </w:rPr>
        <w:t xml:space="preserve">Аудитория:</w:t>
      </w:r>
      <w:r>
        <w:t xml:space="preserve"> </w:t>
      </w:r>
      <w:r>
        <w:t xml:space="preserve">кардиологи, реже терапевты.</w:t>
      </w:r>
      <w:r>
        <w:t xml:space="preserve"> </w:t>
      </w:r>
      <w:r>
        <w:rPr>
          <w:bCs/>
          <w:b/>
        </w:rPr>
        <w:t xml:space="preserve">Off-label дисклеймер по разделу 4.1 ОХЛП Конкор АМ:</w:t>
      </w:r>
      <w:r>
        <w:t xml:space="preserve"> </w:t>
      </w:r>
      <w:r>
        <w:t xml:space="preserve">на уровне презентации (мастер-слайд/общая плашка), не в тексте кейса.</w:t>
      </w:r>
    </w:p>
    <w:p>
      <w:pPr>
        <w:pStyle w:val="BlockText"/>
      </w:pPr>
      <w:r>
        <w:t xml:space="preserve">Версия 1.1 — после verification pass (V1–V11) и совета (commit 60e2d88, артефакты</w:t>
      </w:r>
      <w:r>
        <w:t xml:space="preserve"> </w:t>
      </w:r>
      <w:r>
        <w:rPr>
          <w:rStyle w:val="VerbatimChar"/>
        </w:rPr>
        <w:t xml:space="preserve">council-report-2026-06-05_063606.html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council-transcript-2026-06-05_063606.md</w:t>
      </w:r>
      <w:r>
        <w:t xml:space="preserve">). Применены решения пользователя по 6 из 7 рекомендаций.</w:t>
      </w:r>
    </w:p>
    <w:p>
      <w:pPr>
        <w:pStyle w:val="BlockText"/>
      </w:pPr>
      <w:r>
        <w:t xml:space="preserve">Поля</w:t>
      </w:r>
      <w:r>
        <w:t xml:space="preserve"> </w:t>
      </w:r>
      <w:r>
        <w:rPr>
          <w:rStyle w:val="VerbatimChar"/>
        </w:rPr>
        <w:t xml:space="preserve">[рек.]</w:t>
      </w:r>
      <w:r>
        <w:t xml:space="preserve"> </w:t>
      </w:r>
      <w:r>
        <w:t xml:space="preserve">— placeholder’ы из скелета Claude.ai; подлежат сверке с реальными слайдами 1/2/4 до финализации.</w:t>
      </w:r>
    </w:p>
    <w:p>
      <w:r>
        <w:pict>
          <v:rect style="width:0;height:1.5pt" o:hralign="center" o:hrstd="t" o:hr="t"/>
        </w:pict>
      </w:r>
    </w:p>
    <w:bookmarkStart w:id="20" w:name="слайд-1-титул"/>
    <w:p>
      <w:pPr>
        <w:pStyle w:val="Heading2"/>
      </w:pPr>
      <w:r>
        <w:t xml:space="preserve">Слайд 1 — Титул</w:t>
      </w:r>
    </w:p>
    <w:p>
      <w:pPr>
        <w:pStyle w:val="FirstParagraph"/>
      </w:pPr>
      <w:r>
        <w:rPr>
          <w:bCs/>
          <w:b/>
        </w:rPr>
        <w:t xml:space="preserve">Пациент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[инициалы — рек.]</w:t>
      </w:r>
      <w:r>
        <w:rPr>
          <w:bCs/>
          <w:b/>
        </w:rPr>
        <w:t xml:space="preserve">, мужчина, 58 лет.</w:t>
      </w:r>
    </w:p>
    <w:p>
      <w:r>
        <w:pict>
          <v:rect style="width:0;height:1.5pt" o:hralign="center" o:hrstd="t" o:hr="t"/>
        </w:pict>
      </w:r>
    </w:p>
    <w:bookmarkEnd w:id="20"/>
    <w:bookmarkStart w:id="21" w:name="слайд-2-анамнез"/>
    <w:p>
      <w:pPr>
        <w:pStyle w:val="Heading2"/>
      </w:pPr>
      <w:r>
        <w:t xml:space="preserve">Слайд 2 — Анамнез</w:t>
      </w:r>
    </w:p>
    <w:p>
      <w:pPr>
        <w:pStyle w:val="FirstParagraph"/>
      </w:pPr>
      <w:r>
        <w:rPr>
          <w:bCs/>
          <w:b/>
        </w:rPr>
        <w:t xml:space="preserve">ЖАЛОБЫ:</w:t>
      </w:r>
      <w:r>
        <w:t xml:space="preserve"> </w:t>
      </w:r>
      <w:r>
        <w:t xml:space="preserve">- Давящие боли за грудиной при нагрузке средней интенсивности и подъёме на 3-й этаж.</w:t>
      </w:r>
      <w:r>
        <w:t xml:space="preserve"> </w:t>
      </w:r>
      <w:r>
        <w:t xml:space="preserve">- Утомляемость, одышка при привычной нагрузке.</w:t>
      </w:r>
    </w:p>
    <w:p>
      <w:pPr>
        <w:pStyle w:val="BodyText"/>
      </w:pPr>
      <w:r>
        <w:rPr>
          <w:bCs/>
          <w:b/>
        </w:rPr>
        <w:t xml:space="preserve">АНАМНЕЗ ЗАБОЛЕВАНИЯ:</w:t>
      </w:r>
      <w:r>
        <w:t xml:space="preserve"> </w:t>
      </w:r>
      <w:r>
        <w:t xml:space="preserve">- АГ ~5 лет.</w:t>
      </w:r>
      <w:r>
        <w:t xml:space="preserve"> </w:t>
      </w:r>
      <w:r>
        <w:rPr>
          <w:rStyle w:val="VerbatimChar"/>
        </w:rPr>
        <w:t xml:space="preserve">[рек.: макс./текущее АД до обращения]</w:t>
      </w:r>
      <w:r>
        <w:t xml:space="preserve">.</w:t>
      </w:r>
      <w:r>
        <w:t xml:space="preserve"> </w:t>
      </w:r>
      <w:r>
        <w:t xml:space="preserve">- 2023 — Q-позитивный нижний инфаркт миокарда; ЧКВ со стентированием</w:t>
      </w:r>
      <w:r>
        <w:t xml:space="preserve"> </w:t>
      </w:r>
      <w:r>
        <w:rPr>
          <w:bCs/>
          <w:b/>
        </w:rPr>
        <w:t xml:space="preserve">ПКА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Конкор Кор 2,5 мг назначен в стационаре после ИМ 2023; в амбулаторных условиях титрация β-блокатора не проводилась.</w:t>
      </w:r>
      <w:r>
        <w:t xml:space="preserve"> </w:t>
      </w:r>
      <w:r>
        <w:t xml:space="preserve">- СД2</w:t>
      </w:r>
      <w:r>
        <w:t xml:space="preserve"> </w:t>
      </w:r>
      <w:r>
        <w:rPr>
          <w:rStyle w:val="VerbatimChar"/>
        </w:rPr>
        <w:t xml:space="preserve">[рек.: длительность]</w:t>
      </w:r>
      <w:r>
        <w:t xml:space="preserve">, компенсирован на комбинированной терапии.</w:t>
      </w:r>
    </w:p>
    <w:p>
      <w:pPr>
        <w:pStyle w:val="BodyText"/>
      </w:pPr>
      <w:r>
        <w:rPr>
          <w:bCs/>
          <w:b/>
        </w:rPr>
        <w:t xml:space="preserve">ТЕКУЩАЯ ТЕРАПИЯ:</w:t>
      </w:r>
      <w:r>
        <w:t xml:space="preserve"> </w:t>
      </w:r>
      <w:r>
        <w:t xml:space="preserve">- Рамиприл 10 мг</w:t>
      </w:r>
      <w:r>
        <w:t xml:space="preserve"> </w:t>
      </w:r>
      <w:r>
        <w:t xml:space="preserve">- Конкор Кор 2,5 мг</w:t>
      </w:r>
      <w:r>
        <w:t xml:space="preserve"> </w:t>
      </w:r>
      <w:r>
        <w:t xml:space="preserve">- Клопидогрел</w:t>
      </w:r>
      <w:r>
        <w:t xml:space="preserve"> </w:t>
      </w:r>
      <w:r>
        <w:rPr>
          <w:rStyle w:val="VerbatimChar"/>
        </w:rPr>
        <w:t xml:space="preserve">[рек.: 75 мг]</w:t>
      </w:r>
      <w:r>
        <w:t xml:space="preserve"> </w:t>
      </w:r>
      <w:r>
        <w:t xml:space="preserve">- Дапаглифлозин</w:t>
      </w:r>
      <w:r>
        <w:t xml:space="preserve"> </w:t>
      </w:r>
      <w:r>
        <w:rPr>
          <w:rStyle w:val="VerbatimChar"/>
        </w:rPr>
        <w:t xml:space="preserve">[рек.: 10 мг]</w:t>
      </w:r>
      <w:r>
        <w:t xml:space="preserve"> </w:t>
      </w:r>
      <w:r>
        <w:t xml:space="preserve">- Эплеренон</w:t>
      </w:r>
      <w:r>
        <w:t xml:space="preserve"> </w:t>
      </w:r>
      <w:r>
        <w:rPr>
          <w:rStyle w:val="VerbatimChar"/>
        </w:rPr>
        <w:t xml:space="preserve">[рек.: 50 мг]</w:t>
      </w:r>
      <w:r>
        <w:t xml:space="preserve"> </w:t>
      </w:r>
      <w:r>
        <w:t xml:space="preserve">- Аторвастатин/эзетимиб</w:t>
      </w:r>
      <w:r>
        <w:t xml:space="preserve"> </w:t>
      </w:r>
      <w:r>
        <w:rPr>
          <w:rStyle w:val="VerbatimChar"/>
        </w:rPr>
        <w:t xml:space="preserve">[рек.: 40/10 мг]</w:t>
      </w:r>
      <w:r>
        <w:t xml:space="preserve"> </w:t>
      </w:r>
      <w:r>
        <w:t xml:space="preserve">- Метформин 2000 мг/сут</w:t>
      </w:r>
    </w:p>
    <w:p>
      <w:pPr>
        <w:pStyle w:val="BodyText"/>
      </w:pPr>
      <w:r>
        <w:rPr>
          <w:bCs/>
          <w:b/>
        </w:rPr>
        <w:t xml:space="preserve">АНАМНЕЗ ЖИЗНИ:</w:t>
      </w:r>
      <w:r>
        <w:t xml:space="preserve"> </w:t>
      </w:r>
      <w:r>
        <w:t xml:space="preserve">профессия</w:t>
      </w:r>
      <w:r>
        <w:t xml:space="preserve"> </w:t>
      </w:r>
      <w:r>
        <w:rPr>
          <w:rStyle w:val="VerbatimChar"/>
        </w:rPr>
        <w:t xml:space="preserve">[рек.]</w:t>
      </w:r>
      <w:r>
        <w:t xml:space="preserve">; курение</w:t>
      </w:r>
      <w:r>
        <w:t xml:space="preserve"> </w:t>
      </w:r>
      <w:r>
        <w:rPr>
          <w:rStyle w:val="VerbatimChar"/>
        </w:rPr>
        <w:t xml:space="preserve">[рек.: ~5 сиг/сут ~10 лет ≈ 2,5 пачка-лет]</w:t>
      </w:r>
      <w:r>
        <w:t xml:space="preserve">; алкоголь умеренно</w:t>
      </w:r>
      <w:r>
        <w:t xml:space="preserve"> </w:t>
      </w:r>
      <w:r>
        <w:rPr>
          <w:rStyle w:val="VerbatimChar"/>
        </w:rPr>
        <w:t xml:space="preserve">[рек.]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ФАКТОРЫ РИСКА:</w:t>
      </w:r>
      <w:r>
        <w:t xml:space="preserve"> </w:t>
      </w:r>
      <w:r>
        <w:t xml:space="preserve">СД2; избыточная масса тела (ИМТ 26,5); курение.</w:t>
      </w:r>
    </w:p>
    <w:p>
      <w:pPr>
        <w:pStyle w:val="BodyText"/>
      </w:pPr>
      <w:r>
        <w:rPr>
          <w:bCs/>
          <w:b/>
        </w:rPr>
        <w:t xml:space="preserve">НАСЛЕДСТВЕННОСТЬ:</w:t>
      </w:r>
      <w:r>
        <w:t xml:space="preserve"> </w:t>
      </w:r>
      <w:r>
        <w:rPr>
          <w:rStyle w:val="VerbatimChar"/>
        </w:rPr>
        <w:t xml:space="preserve">[рек.]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слайд-3-обследование"/>
    <w:p>
      <w:pPr>
        <w:pStyle w:val="Heading2"/>
      </w:pPr>
      <w:r>
        <w:t xml:space="preserve">Слайд 3 — Обследование</w:t>
      </w:r>
    </w:p>
    <w:p>
      <w:pPr>
        <w:pStyle w:val="FirstParagraph"/>
      </w:pPr>
      <w:r>
        <w:rPr>
          <w:bCs/>
          <w:b/>
        </w:rPr>
        <w:t xml:space="preserve">ФИЗИКАЛЬНОЕ ОБСЛЕДОВАНИЕ:</w:t>
      </w:r>
      <w:r>
        <w:t xml:space="preserve"> </w:t>
      </w:r>
      <w:r>
        <w:t xml:space="preserve">- Рост 176 см, вес 82 кг (ИМТ 26,5).</w:t>
      </w:r>
      <w:r>
        <w:t xml:space="preserve"> </w:t>
      </w:r>
      <w:r>
        <w:t xml:space="preserve">- АД 155/95 мм рт.ст.</w:t>
      </w:r>
      <w:r>
        <w:t xml:space="preserve"> </w:t>
      </w:r>
      <w:r>
        <w:t xml:space="preserve">- ЧСС 86 уд/мин, пульс ритмичный, удовлетворительного наполнения.</w:t>
      </w:r>
      <w:r>
        <w:t xml:space="preserve"> </w:t>
      </w:r>
      <w:r>
        <w:t xml:space="preserve">- Тоны сердца ясные</w:t>
      </w:r>
      <w:r>
        <w:t xml:space="preserve"> </w:t>
      </w:r>
      <w:r>
        <w:rPr>
          <w:rStyle w:val="VerbatimChar"/>
        </w:rPr>
        <w:t xml:space="preserve">[рек.]</w:t>
      </w:r>
      <w:r>
        <w:t xml:space="preserve">; дыхание везикулярное; отёков нет</w:t>
      </w:r>
      <w:r>
        <w:t xml:space="preserve"> </w:t>
      </w:r>
      <w:r>
        <w:rPr>
          <w:rStyle w:val="VerbatimChar"/>
        </w:rPr>
        <w:t xml:space="preserve">[рек.]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ИНСТРУМЕНТАЛЬНЫЕ ИССЛЕДОВАНИЯ: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ЭКГ покоя:</w:t>
      </w:r>
      <w:r>
        <w:t xml:space="preserve"> </w:t>
      </w:r>
      <w:r>
        <w:t xml:space="preserve">синусовый ритм, признаки крупноочагового нижнего инфаркта миокарда неопределённой давности.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ЭхоКГ покоя:</w:t>
      </w:r>
      <w:r>
        <w:t xml:space="preserve"> </w:t>
      </w:r>
      <w:r>
        <w:t xml:space="preserve">ФВ ЛЖ 51 % (Simpson); ИММЛЖ 149 г/м² (ГЛЖ); средняя E/e′ 18; e′ септальная 5 см/с, e′ латеральная 6 см/с.</w:t>
      </w:r>
      <w:r>
        <w:t xml:space="preserve"> </w:t>
      </w:r>
      <w:r>
        <w:t xml:space="preserve">- HFA-PEFF: 5 баллов (функциональный 2 + морфологический 1 + биомаркерный 2) → подтверждённый HFpEF.</w:t>
      </w:r>
    </w:p>
    <w:p>
      <w:pPr>
        <w:pStyle w:val="BodyText"/>
      </w:pPr>
      <w:r>
        <w:rPr>
          <w:bCs/>
          <w:b/>
        </w:rPr>
        <w:t xml:space="preserve">ЛАБОРАТОРНЫЕ ИССЛЕДОВАНИЯ:</w:t>
      </w:r>
      <w:r>
        <w:t xml:space="preserve"> </w:t>
      </w:r>
      <w:r>
        <w:t xml:space="preserve">- Глюкоза натощак 5,5 ммоль/л; HbA1c 5,6 %.</w:t>
      </w:r>
      <w:r>
        <w:t xml:space="preserve"> </w:t>
      </w:r>
      <w:r>
        <w:t xml:space="preserve">- NT-proBNP 300 пг/мл.</w:t>
      </w:r>
      <w:r>
        <w:t xml:space="preserve"> </w:t>
      </w:r>
      <w:r>
        <w:t xml:space="preserve">- Креатинин 112 мкмоль/л; рСКФ CKD-EPI 62 мл/мин/1,73 м²; альбумин/креатинин мочи 35 мг/г.</w:t>
      </w:r>
      <w:r>
        <w:t xml:space="preserve"> </w:t>
      </w:r>
      <w:r>
        <w:t xml:space="preserve">- ОХС 3,7; ТГ 1,6; ЛНП 1,77; ЛВП 1,2 ммоль/л.</w:t>
      </w:r>
    </w:p>
    <w:p>
      <w:pPr>
        <w:pStyle w:val="BodyText"/>
      </w:pPr>
      <w:r>
        <w:rPr>
          <w:bCs/>
          <w:b/>
        </w:rPr>
        <w:t xml:space="preserve">ДИАГНОЗ (КР МЗ РФ):</w:t>
      </w:r>
      <w:r>
        <w:t xml:space="preserve"> </w:t>
      </w:r>
      <w:r>
        <w:t xml:space="preserve">&gt; ИБС: стабильная стенокардия напряжения ФК II. Постинфарктный кардиосклероз (2023). Состояние после ЧКВ со стентированием ПКА (2023).</w:t>
      </w:r>
      <w:r>
        <w:t xml:space="preserve"> </w:t>
      </w:r>
      <w:r>
        <w:t xml:space="preserve">&gt; ХСН с сохранённой ФВ ЛЖ (HFA-PEFF 5 баллов), стадия</w:t>
      </w:r>
      <w:r>
        <w:t xml:space="preserve"> </w:t>
      </w:r>
      <w:r>
        <w:rPr>
          <w:rStyle w:val="VerbatimChar"/>
        </w:rPr>
        <w:t xml:space="preserve">[рек.: I]</w:t>
      </w:r>
      <w:r>
        <w:t xml:space="preserve">, ФК</w:t>
      </w:r>
      <w:r>
        <w:t xml:space="preserve"> </w:t>
      </w:r>
      <w:r>
        <w:rPr>
          <w:rStyle w:val="VerbatimChar"/>
        </w:rPr>
        <w:t xml:space="preserve">[рек.: II]</w:t>
      </w:r>
      <w:r>
        <w:t xml:space="preserve">.</w:t>
      </w:r>
      <w:r>
        <w:t xml:space="preserve"> </w:t>
      </w:r>
      <w:r>
        <w:t xml:space="preserve">&gt; Гипертоническая болезнь III стадии. Целевой уровень АД не достигнут. Риск 4 (очень высокий).</w:t>
      </w:r>
      <w:r>
        <w:t xml:space="preserve"> </w:t>
      </w:r>
      <w:r>
        <w:t xml:space="preserve">&gt; Сахарный диабет 2 типа, компенсированный на комбинированной сахароснижающей терапии (метформин + дапаглифлозин).</w:t>
      </w:r>
      <w:r>
        <w:t xml:space="preserve"> </w:t>
      </w:r>
      <w:r>
        <w:t xml:space="preserve">&gt; ХБП С2А2 (рСКФ 62 мл/мин/1,73 м²; альбумин/креатинин мочи 35 мг/г).</w:t>
      </w:r>
      <w:r>
        <w:t xml:space="preserve"> </w:t>
      </w:r>
      <w:r>
        <w:t xml:space="preserve">&gt; Дислипидемия, целевой ХС-ЛНП не достигнут.</w:t>
      </w:r>
    </w:p>
    <w:p>
      <w:r>
        <w:pict>
          <v:rect style="width:0;height:1.5pt" o:hralign="center" o:hrstd="t" o:hr="t"/>
        </w:pict>
      </w:r>
    </w:p>
    <w:bookmarkEnd w:id="22"/>
    <w:bookmarkStart w:id="23" w:name="слайд-4-план-лечения"/>
    <w:p>
      <w:pPr>
        <w:pStyle w:val="Heading2"/>
      </w:pPr>
      <w:r>
        <w:t xml:space="preserve">Слайд 4 — План лечения</w:t>
      </w:r>
    </w:p>
    <w:p>
      <w:pPr>
        <w:pStyle w:val="FirstParagraph"/>
      </w:pPr>
      <w:r>
        <w:rPr>
          <w:bCs/>
          <w:b/>
        </w:rPr>
        <w:t xml:space="preserve">БАЗОВАЯ ТЕРАПИЯ (сохраняется):</w:t>
      </w:r>
      <w:r>
        <w:t xml:space="preserve"> </w:t>
      </w:r>
      <w:r>
        <w:t xml:space="preserve">рамиприл 10 мг, клопидогрел 75 мг</w:t>
      </w:r>
      <w:r>
        <w:t xml:space="preserve"> </w:t>
      </w:r>
      <w:r>
        <w:rPr>
          <w:rStyle w:val="VerbatimChar"/>
        </w:rPr>
        <w:t xml:space="preserve">[рек.]</w:t>
      </w:r>
      <w:r>
        <w:t xml:space="preserve">, дапаглифлозин 10 мг</w:t>
      </w:r>
      <w:r>
        <w:t xml:space="preserve"> </w:t>
      </w:r>
      <w:r>
        <w:rPr>
          <w:rStyle w:val="VerbatimChar"/>
        </w:rPr>
        <w:t xml:space="preserve">[рек.]</w:t>
      </w:r>
      <w:r>
        <w:t xml:space="preserve"> </w:t>
      </w:r>
      <w:r>
        <w:t xml:space="preserve">(disease-modifying при ХСНсФВ — класс IА по КР ХСН-2024), эплеренон 50 мг</w:t>
      </w:r>
      <w:r>
        <w:t xml:space="preserve"> </w:t>
      </w:r>
      <w:r>
        <w:rPr>
          <w:rStyle w:val="VerbatimChar"/>
        </w:rPr>
        <w:t xml:space="preserve">[рек.]</w:t>
      </w:r>
      <w:r>
        <w:t xml:space="preserve">, аторвастатин/эзетимиб 40/10 мг</w:t>
      </w:r>
      <w:r>
        <w:t xml:space="preserve"> </w:t>
      </w:r>
      <w:r>
        <w:rPr>
          <w:rStyle w:val="VerbatimChar"/>
        </w:rPr>
        <w:t xml:space="preserve">[рек.]</w:t>
      </w:r>
      <w:r>
        <w:t xml:space="preserve">, метформин 2000 мг.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Бисопролол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Стенокардия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Логика шага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Исходно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Конкор Кор 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155/95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ФК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АД, ЧСС, стенокардия не контролируются на минимальной дозе β-блокатора (амбулаторная титрация не проводилась после стационара)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 1</w:t>
            </w:r>
            <w:r>
              <w:t xml:space="preserve"> </w:t>
            </w:r>
            <w:r>
              <w:t xml:space="preserve">(через 7–10 дней)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Конкор 5 (переход с Конкор Кор) +</w:t>
            </w:r>
            <w:r>
              <w:t xml:space="preserve"> </w:t>
            </w:r>
            <w:r>
              <w:rPr>
                <w:bCs/>
                <w:b/>
              </w:rPr>
              <w:t xml:space="preserve">амлодипин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~140/85 (не цель)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ФК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амлодипин снижает АД, но не ЧСС; удвоение дозы β-блокатора частично снижает ЧСС → драйвер ишемии не закрыт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 2</w:t>
            </w:r>
            <w:r>
              <w:t xml:space="preserve"> </w:t>
            </w:r>
            <w:r>
              <w:t xml:space="preserve">(через 7–10 дней)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Конкор 10 (титрация 5→10)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~128/80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ФК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фоне комплексной терапии (Конкор 10 + амлодипин 5) — улучшение симптоматики до ФК I, целевая ЧСС достигнута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 3</w:t>
            </w:r>
            <w:r>
              <w:t xml:space="preserve"> </w:t>
            </w:r>
            <w:r>
              <w:t xml:space="preserve">(через 7–10 дней стабильности на свободной комбинации)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Конкор АМ 10/5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125–130/80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ФК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с подобранной свободной комбинации (бисопролол 10 + амлодипин 5) на FDC в тех же дозах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 ТЕРАПИИ:</w:t>
      </w:r>
      <w:r>
        <w:t xml:space="preserve"> </w:t>
      </w:r>
      <w:r>
        <w:t xml:space="preserve">- Целевой уровень АД достигнут (в коридоре 120–130/70–80 мм рт.ст.).</w:t>
      </w:r>
      <w:r>
        <w:t xml:space="preserve"> </w:t>
      </w:r>
      <w:r>
        <w:t xml:space="preserve">- Целевая ЧСС при стабильной стенокардии достигнута (55–60 уд/мин, КР МЗ РФ Стабильная ИБС-2024).</w:t>
      </w:r>
      <w:r>
        <w:t xml:space="preserve"> </w:t>
      </w:r>
      <w:r>
        <w:t xml:space="preserve">- Симптомы стенокардии — ФК I.</w:t>
      </w:r>
      <w:r>
        <w:t xml:space="preserve"> </w:t>
      </w:r>
      <w:r>
        <w:t xml:space="preserve">- Упрощение схемы: на одну таблетку меньше в утренней дозировке.</w:t>
      </w:r>
    </w:p>
    <w:p>
      <w:pPr>
        <w:pStyle w:val="BodyText"/>
      </w:pPr>
      <w:r>
        <w:rPr>
          <w:bCs/>
          <w:b/>
        </w:rPr>
        <w:t xml:space="preserve">ПОЧЕМУ КОНКОР АМ 10/5: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FDC бисопролол + амлодипин</w:t>
      </w:r>
      <w:r>
        <w:t xml:space="preserve"> </w:t>
      </w:r>
      <w:r>
        <w:t xml:space="preserve">— два класса с разными механизмами (β-блок + ДГП-БКК) в одной таблетке.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Switch с двух монокомпонентов в тех же дозах</w:t>
      </w:r>
      <w:r>
        <w:t xml:space="preserve"> </w:t>
      </w:r>
      <w:r>
        <w:t xml:space="preserve">— единственный валидный сценарий по ОХЛП Конкор АМ.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Упрощение схемы → приверженность.</w:t>
      </w:r>
      <w:r>
        <w:t xml:space="preserve"> </w:t>
      </w:r>
      <w:r>
        <w:t xml:space="preserve">Verma AA et al. (PLOS Medicine 2018, ретроспективная когорта, n = 13 350 пациентов с АГ, до 5 лет наблюдения): FDC vs свободная комбинация — приверженность 70 % vs 42 % (p &lt; 0,01); общая смертность ОР 0,85 (95 % ДИ 0,77–0,94; p &lt; 0,01); комбинированная конечная точка «смерть, ИМ, СН, инсульт» ОР 0,89 (95 % ДИ 0,81–0,97; p &lt; 0,01).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Метаболическая нейтральность при коморбидном СД2.</w:t>
      </w:r>
      <w:r>
        <w:t xml:space="preserve"> </w:t>
      </w:r>
      <w:r>
        <w:t xml:space="preserve">β1-селективность бисопролола минимизирует влияние на углеводный обмен. Формулировка — «нейтральная»,</w:t>
      </w:r>
      <w:r>
        <w:t xml:space="preserve"> </w:t>
      </w:r>
      <w:r>
        <w:rPr>
          <w:bCs/>
          <w:b/>
        </w:rPr>
        <w:t xml:space="preserve">не «улучшает»</w:t>
      </w:r>
      <w:r>
        <w:t xml:space="preserve"> </w:t>
      </w:r>
      <w:r>
        <w:t xml:space="preserve">(по данным Жернаковой 2017 — у пациентов с АГ и метаболическим синдромом).</w:t>
      </w:r>
    </w:p>
    <w:p>
      <w:pPr>
        <w:pStyle w:val="BodyText"/>
      </w:pPr>
      <w:r>
        <w:rPr>
          <w:bCs/>
          <w:b/>
        </w:rPr>
        <w:t xml:space="preserve">FAIR BALANCE:</w:t>
      </w:r>
      <w:r>
        <w:t xml:space="preserve"> </w:t>
      </w:r>
      <w:r>
        <w:t xml:space="preserve">- Целевая ЧСС 55–60 уд/мин при стабильной стенокардии. Риск маскировки гипогликемии β-блокатором при СД2 —</w:t>
      </w:r>
      <w:r>
        <w:t xml:space="preserve"> </w:t>
      </w:r>
      <w:r>
        <w:rPr>
          <w:bCs/>
          <w:b/>
        </w:rPr>
        <w:t xml:space="preserve">низкий у данного пациента</w:t>
      </w:r>
      <w:r>
        <w:t xml:space="preserve">: дапаглифлозин не вызывает гипогликемии, метформин — низкий гипогликемический потенциал, HbA1c контролируется.</w:t>
      </w:r>
      <w:r>
        <w:t xml:space="preserve"> </w:t>
      </w:r>
      <w:r>
        <w:t xml:space="preserve">- Дальнейшая интенсификация липидоснижающей терапии (для достижения ЛНП &lt;1,4 ммоль/л) — по решению лечащего врача.</w:t>
      </w:r>
    </w:p>
    <w:p>
      <w:pPr>
        <w:pStyle w:val="BodyText"/>
      </w:pPr>
      <w:r>
        <w:rPr>
          <w:bCs/>
          <w:b/>
        </w:rPr>
        <w:t xml:space="preserve">ДОКАЗАТЕЛЬНАЯ ОГОВОРКА:</w:t>
      </w:r>
      <w:r>
        <w:t xml:space="preserve"> </w:t>
      </w:r>
      <w:r>
        <w:t xml:space="preserve">титрация β-блокатора в этом кейсе опирается на антиангинальный эффект + контроль ЧСС/АД, а не на «пост-ИМ прогностический выигрыш».</w:t>
      </w:r>
    </w:p>
    <w:p>
      <w:r>
        <w:pict>
          <v:rect style="width:0;height:1.5pt" o:hralign="center" o:hrstd="t" o:hr="t"/>
        </w:pict>
      </w:r>
    </w:p>
    <w:bookmarkEnd w:id="23"/>
    <w:bookmarkStart w:id="24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01"/>
        </w:numPr>
        <w:pStyle w:val="Compact"/>
      </w:pPr>
      <w:r>
        <w:t xml:space="preserve">КР МЗ РФ 2024. Артериальная гипертензия у взрослых.</w:t>
      </w:r>
    </w:p>
    <w:p>
      <w:pPr>
        <w:numPr>
          <w:ilvl w:val="0"/>
          <w:numId w:val="1001"/>
        </w:numPr>
        <w:pStyle w:val="Compact"/>
      </w:pPr>
      <w:r>
        <w:t xml:space="preserve">КР МЗ РФ 2024. Стабильная ишемическая болезнь сердца.</w:t>
      </w:r>
    </w:p>
    <w:p>
      <w:pPr>
        <w:numPr>
          <w:ilvl w:val="0"/>
          <w:numId w:val="1001"/>
        </w:numPr>
        <w:pStyle w:val="Compact"/>
      </w:pPr>
      <w:r>
        <w:t xml:space="preserve">КР МЗ РФ 2024. Хроническая сердечная недостаточность.</w:t>
      </w:r>
    </w:p>
    <w:p>
      <w:pPr>
        <w:numPr>
          <w:ilvl w:val="0"/>
          <w:numId w:val="1001"/>
        </w:numPr>
        <w:pStyle w:val="Compact"/>
      </w:pPr>
      <w:r>
        <w:t xml:space="preserve">КР МЗ РФ 2023. Нарушения липидного обмена.</w:t>
      </w:r>
    </w:p>
    <w:p>
      <w:pPr>
        <w:numPr>
          <w:ilvl w:val="0"/>
          <w:numId w:val="1001"/>
        </w:numPr>
        <w:pStyle w:val="Compact"/>
      </w:pPr>
      <w:r>
        <w:t xml:space="preserve">ОХЛП Конкор АМ (ЛП-№012650-РГ-RU от 28.11.2025); ОХЛП Конкор моно (ЛП-№003852-РГ-RU от 30.11.2023); ОХЛП Конкор Кор (ЛП-№004360-РГ-RU от 11.03.2026).</w:t>
      </w:r>
    </w:p>
    <w:p>
      <w:pPr>
        <w:numPr>
          <w:ilvl w:val="0"/>
          <w:numId w:val="1001"/>
        </w:numPr>
        <w:pStyle w:val="Compact"/>
      </w:pPr>
      <w:r>
        <w:t xml:space="preserve">Verma AA et al. PLOS Medicine 2018;15(6):e1002584. DOI:10.1371/journal.pmed.1002584.</w:t>
      </w:r>
    </w:p>
    <w:p>
      <w:pPr>
        <w:numPr>
          <w:ilvl w:val="0"/>
          <w:numId w:val="1001"/>
        </w:numPr>
        <w:pStyle w:val="Compact"/>
      </w:pPr>
      <w:r>
        <w:t xml:space="preserve">Чесникова АИ и соавт. Кардиология. 2014;9:17–23.</w:t>
      </w:r>
    </w:p>
    <w:p>
      <w:pPr>
        <w:numPr>
          <w:ilvl w:val="0"/>
          <w:numId w:val="1001"/>
        </w:numPr>
        <w:pStyle w:val="Compact"/>
      </w:pPr>
      <w:r>
        <w:t xml:space="preserve">Жернакова ЮВ, Мартынюк ТВ, Архипова ОА и соавт. Системные гипертензии. 2017;1:45–50.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2026-06-05T06:52:54Z</dcterms:created>
  <dcterms:modified xsi:type="dcterms:W3CDTF">2026-06-05T06:52:54Z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