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0.2</w:t>
      </w:r>
    </w:p>
    <w:p>
      <w:pPr>
        <w:jc w:val="center"/>
      </w:pPr>
      <w:r>
        <w:rPr>
          <w:i/>
          <w:color w:val="555555"/>
          <w:sz w:val="20"/>
        </w:rPr>
        <w:t>Аудитория: кардиологи (приоритетно), терапевты  •  Эксперты: Гражданкин И.О., Кашталап В.В.  •  Длительность: ~4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—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0:00 – 0:05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0:05 – 1:20</w:t>
            </w:r>
          </w:p>
        </w:tc>
        <w:tc>
          <w:tcPr>
            <w:tcW w:type="dxa" w:w="2160"/>
          </w:tcPr>
          <w:p>
            <w:r>
              <w:t>Часть 1. Диагностика и стратификация риска ИБС</w:t>
            </w:r>
          </w:p>
        </w:tc>
        <w:tc>
          <w:tcPr>
            <w:tcW w:type="dxa" w:w="2160"/>
          </w:tcPr>
          <w:p>
            <w:r>
              <w:t>Лекция + интерактив (75 мин)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1:20 – 1:35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Перерыв 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1:35 – 2:35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+ дискуссия (60 мин)</w:t>
            </w:r>
          </w:p>
        </w:tc>
        <w:tc>
          <w:tcPr>
            <w:tcW w:type="dxa" w:w="2160"/>
          </w:tcPr>
          <w:p>
            <w:r>
              <w:t>Кашталап</w:t>
            </w:r>
          </w:p>
        </w:tc>
      </w:tr>
      <w:tr>
        <w:tc>
          <w:tcPr>
            <w:tcW w:type="dxa" w:w="2160"/>
          </w:tcPr>
          <w:p>
            <w:r>
              <w:t>2:35 – 2:50</w:t>
            </w:r>
          </w:p>
        </w:tc>
        <w:tc>
          <w:tcPr>
            <w:tcW w:type="dxa" w:w="2160"/>
          </w:tcPr>
          <w:p>
            <w:r>
              <w:t>Кофе-пауза (или лёгкий обед)</w:t>
            </w:r>
          </w:p>
        </w:tc>
        <w:tc>
          <w:tcPr>
            <w:tcW w:type="dxa" w:w="2160"/>
          </w:tcPr>
          <w:p>
            <w:r>
              <w:t>Перерыв 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2:50 – 4:05</w:t>
            </w:r>
          </w:p>
        </w:tc>
        <w:tc>
          <w:tcPr>
            <w:tcW w:type="dxa" w:w="2160"/>
          </w:tcPr>
          <w:p>
            <w:r>
              <w:t>Часть 3. Клинические разборы (3 сквозных кейса)</w:t>
            </w:r>
          </w:p>
        </w:tc>
        <w:tc>
          <w:tcPr>
            <w:tcW w:type="dxa" w:w="2160"/>
          </w:tcPr>
          <w:p>
            <w:r>
              <w:t>Кейсы + голосование (75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4:05 – 4:15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Свободный формат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Если организационно удобнее «обед в середине», передвинуть длинный перерыв на 2:35 (≈ 13:30 при старте в 11:00) и удлинить до 45–60 мин — итоговое время дня сместится, контент остаётся прежним.</w:t>
      </w:r>
    </w:p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75 минут (60 мин лекция + 15 мин голосование/Q&amp;A)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должен уверенно отвечать: какому пациенту нужен CAC, какому — стресс-визуализация, какому — сразу КАГ.</w:t>
      </w:r>
    </w:p>
    <w:p>
      <w:r>
        <w:rPr>
          <w:b w:val="0"/>
          <w:i/>
          <w:color w:val="B8860B"/>
          <w:sz w:val="22"/>
        </w:rPr>
        <w:t>Основано на имеющейся презентации эксперта (70 слайдов). До релиза слайды требуют технической правки — см. отдельный документ «Замечания к PDF Гражданкина».</w:t>
      </w:r>
    </w:p>
    <w:p/>
    <w:p>
      <w:pPr>
        <w:pStyle w:val="Heading3"/>
      </w:pPr>
      <w:r>
        <w:rPr>
          <w:color w:val="1F3A68"/>
        </w:rPr>
        <w:t>1.1  Что такое ИБС / ХКС (5 мин)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 — обозначить, не углубляться.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Согласовать: явно сказать, что 6 категорий — формулировка ESC, КР РФ 2024 использует более компактную классификацию. Это формирует «комплаенс-рамку» на весь день.</w:t>
      </w:r>
    </w:p>
    <w:p>
      <w:pPr>
        <w:pStyle w:val="Heading3"/>
      </w:pPr>
      <w:r>
        <w:rPr>
          <w:color w:val="1F3A68"/>
        </w:rPr>
        <w:t>1.2  Симптомы и предтестовая вероятность (15 мин)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2013 → 2019 → КР РФ 2024: показать эволюцию, акцент на актуальной таблице.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В слайдах используется таблица ПТВ 2013 (значения 59–93%) — она избыточна для практики. Согласовать с экспертом: оставить только таблицу из КР РФ 2024 как основную; ESC 2019 «по запросу» в backup-слайде.</w:t>
      </w:r>
    </w:p>
    <w:p>
      <w:pPr>
        <w:pStyle w:val="Heading3"/>
      </w:pPr>
      <w:r>
        <w:rPr>
          <w:color w:val="1F3A68"/>
        </w:rPr>
        <w:t>1.3  Стратегия обследования по ПТВ (15 мин)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Согласовать: КР РФ 2024 vs ESC 2024 расходятся в позиционировании КТА как метода первой линии при промежуточной ПТВ. Дать обе позиции с маркером источника.</w:t>
      </w:r>
    </w:p>
    <w:p>
      <w:pPr>
        <w:pStyle w:val="Heading3"/>
      </w:pPr>
      <w:r>
        <w:rPr>
          <w:color w:val="1F3A68"/>
        </w:rPr>
        <w:t>1.4  Коронарный кальций (CAC) (10 мин)</w:t>
      </w:r>
    </w:p>
    <w:p>
      <w:pPr>
        <w:pStyle w:val="ListBullet"/>
      </w:pPr>
      <w:r>
        <w:t>Шкала Агатсона. Современные диагностические бины: 0 / 1–99 / 100–299 / ≥300 — унифицировать с программой.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Технический комментарий: в PDF Гражданкина бины указаны как 0/1–10/11–100/101–400/&gt;400 — это устаревший вариант. На странице 8–10 PDF также присутствует «пациентский» блок («Кальций в костях — хорошо…»), сгенерированный, по-видимому, нейросетью — для аудитории кардиологов его следует убрать или переработать.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 (15 мин)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на интерпретацию: маскировка симптомов, снижение ЧСС-ответа, критерии субмаксимальной нагрузки. — Переход к Части 3 (детальный разбор отмены).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Сравнительная таблица методов (доступность, ИМТ, ритм, функция почек) — одним слайдом; формат согласовать.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 (10 мин)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ISCHEMIA: упомянуть как обоснование тезиса «ОМТ — равноправная стратегия», без углублённого разбора. Согласовать формулировку с экспертом.</w:t>
      </w:r>
    </w:p>
    <w:p>
      <w:pPr>
        <w:pStyle w:val="Heading3"/>
      </w:pPr>
      <w:r>
        <w:rPr>
          <w:color w:val="1F3A68"/>
        </w:rPr>
        <w:t>1.7  Интерактив и голосование (включено в общие 75 мин)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Открытые вопросы из зала — после блока 1.6.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 с маркетинговым отделом: какая платформа для голосования (Mentimeter / встроенная в зал система / QR-код).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60 минут (45 мин лекция + 15 мин дискуссия)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мг,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(10 мин)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Дифференциация БАБ: селективность, липофильность, вазодилатирующие свойства. Почему бисопролол — высокая β1-селективность.</w:t>
      </w:r>
    </w:p>
    <w:p>
      <w:pPr>
        <w:pStyle w:val="ListBullet"/>
      </w:pPr>
      <w:r>
        <w:t>Доказательная база при ПИКС и ХСНнФВ: CIBIS-II, CIBIS-III (по выбору эксперта).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 с Кашталапом: давать ли сравнительную таблицу бисопролол / метопролол сукцинат / карведилол / небиволол? Если да — на одном слайде, без явных «голосований» в пользу бисопролола (комплаенс).</w:t>
      </w:r>
    </w:p>
    <w:p>
      <w:pPr>
        <w:pStyle w:val="Heading3"/>
      </w:pPr>
      <w:r>
        <w:rPr>
          <w:color w:val="1F3A68"/>
        </w:rPr>
        <w:t>2.2  Цели терапии и целевая доза бисопролола (15 мин)</w:t>
      </w:r>
    </w:p>
    <w:p>
      <w:pPr>
        <w:pStyle w:val="ListBullet"/>
      </w:pPr>
      <w:r>
        <w:t>Симптоматические цели: снижение частоты приступов, повышение толерантности к нагрузке, снижение ФК стенокардии.</w:t>
      </w:r>
    </w:p>
    <w:p>
      <w:pPr>
        <w:pStyle w:val="ListBullet"/>
      </w:pPr>
      <w:r>
        <w:t>Прогностические цели: при ПИКС и ХСНнФВ — снижение ССС, риска повторного ИМ.</w:t>
      </w:r>
    </w:p>
    <w:p>
      <w:pPr>
        <w:pStyle w:val="ListBullet"/>
      </w:pPr>
      <w:r>
        <w:t>Целевая ЧСС покоя: 55–60/мин при стенокардии, индивидуализация при ХСНнФВ; целевое АД по КР РФ АГ 2024.</w:t>
      </w:r>
    </w:p>
    <w:p>
      <w:pPr>
        <w:pStyle w:val="ListBullet"/>
      </w:pPr>
      <w:r>
        <w:t>Стартовая доза бисопролола 2,5–5 мг → титрация → целевая 10 мг. Шаги и интервалы.</w:t>
      </w:r>
    </w:p>
    <w:p>
      <w:pPr>
        <w:pStyle w:val="ListBullet"/>
      </w:pPr>
      <w:r>
        <w:t>Почему «10 мг — это норма, а не максимум»: данные по дозо-зависимому эффекту; реальная практика недотитрации.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Согласовать единую схему титрации или раздельные сценарии (стенокардия / ПИКС / ХСНнФВ). Приоритет — сценарий «стенокардия + АГ» как ключевой для этой школы.</w:t>
      </w:r>
    </w:p>
    <w:p>
      <w:pPr>
        <w:pStyle w:val="Heading3"/>
      </w:pPr>
      <w:r>
        <w:rPr>
          <w:color w:val="1F3A68"/>
        </w:rPr>
        <w:t>2.3  Когда добавлять амлодипин: рациональ комбинации (15 мин)</w:t>
      </w:r>
    </w:p>
    <w:p>
      <w:pPr>
        <w:pStyle w:val="ListBullet"/>
      </w:pPr>
      <w:r>
        <w:t>Двойной эффект амлодипина при ИБС + АГ: антиангинальный (артериолярная вазодилатация, снижение постнагрузки) + гипотензивный.</w:t>
      </w:r>
    </w:p>
    <w:p>
      <w:pPr>
        <w:pStyle w:val="ListBullet"/>
      </w:pPr>
      <w:r>
        <w:t>Комбинация БАБ + дигидропиридиновый АК — предпочтительная двухкомпонентная схема при стенокардии + АГ (КР РФ Стабильная ИБС 2024, КР РФ АГ 2024).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EMA 2012 ограничения по триметазидину (комплаенс-блок).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Маркер: расхождения КР РФ vs ESC 2024 CCS по позиции CCB и метаболических препаратов — где они есть, обозначить явно. Не выбирать «победителя» без отдельного запроса.</w:t>
      </w:r>
    </w:p>
    <w:p>
      <w:pPr>
        <w:pStyle w:val="Heading3"/>
      </w:pPr>
      <w:r>
        <w:rPr>
          <w:color w:val="1F3A68"/>
        </w:rPr>
        <w:t>2.4  От свободной комбинации к фиксированной: Конкор АМ (15 мин)</w:t>
      </w:r>
    </w:p>
    <w:p>
      <w:pPr>
        <w:pStyle w:val="ListBullet"/>
      </w:pPr>
      <w:r>
        <w:t>Данные приверженности: снижение числа таблеток → повышение приверженности → лучший долгосрочный контроль АД и ЧСС.</w:t>
      </w:r>
    </w:p>
    <w:p>
      <w:pPr>
        <w:pStyle w:val="ListBullet"/>
      </w:pPr>
      <w:r>
        <w:t>Дозовые комбинации Конкор АМ: 5/5, 5/10, 10/5, 10/10 — гибкость подбора без потери целевой дозы бисопролола.</w:t>
      </w:r>
    </w:p>
    <w:p>
      <w:pPr>
        <w:pStyle w:val="ListBullet"/>
      </w:pPr>
      <w:r>
        <w:t>Ключевой клинический сценарий: пациент стабилизирован на свободной комбинации бисопролол + амлодипин → switch на Конкор АМ той же эквивалентной дозы.</w:t>
      </w:r>
    </w:p>
    <w:p>
      <w:pPr>
        <w:pStyle w:val="ListBullet"/>
      </w:pPr>
      <w:r>
        <w:t>Когда Конкор АМ НЕ подходит: ХСНнФВ (амлодипин нейтрален, но не препарат выбора при декомпенсации), брадикардия, АВ-блокада II–III ст. без ИВР, тяжёлая БА.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Подтвердить с Кашталапом ключевой нарратив: Конкор АМ — это switch с двух монокомпонентов, а не стартовая терапия. Это соответствует установленному принципу из предыдущего чата по клиническим кейсам.</w:t>
      </w:r>
    </w:p>
    <w:p>
      <w:pPr>
        <w:pStyle w:val="Heading3"/>
      </w:pPr>
      <w:r>
        <w:rPr>
          <w:color w:val="1F3A68"/>
        </w:rPr>
        <w:t>2.5  Дискуссия (15 мин — встроено в блок)</w:t>
      </w:r>
    </w:p>
    <w:p>
      <w:pPr>
        <w:pStyle w:val="ListBullet"/>
      </w:pPr>
      <w:r>
        <w:t>Вопросы из зала; разбор спорных моментов (например, целевая ЧСС при ХСНуФВ, тактика при «непереносимости» БАБ).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75 минут</w:t>
      </w:r>
    </w:p>
    <w:p>
      <w:r>
        <w:rPr>
          <w:b w:val="0"/>
          <w:i/>
          <w:sz w:val="22"/>
        </w:rPr>
        <w:t>Формат: 3 кейса по ~20 минут + 15 минут на сводную дискуссию и устный комментарий приглашённого врача из зала (1 доклад, ≤7 мин). Каждый кейс — голосование + обсуждение, без повторной теоретической части.</w:t>
      </w:r>
    </w:p>
    <w:p/>
    <w:p>
      <w:pPr>
        <w:pStyle w:val="Heading3"/>
      </w:pPr>
      <w:r>
        <w:rPr>
          <w:color w:val="1F3A68"/>
        </w:rPr>
        <w:t>Кейс 1. Пациент с АГ → подозрение на стенокардию: место Конкор АМ (20 мин)</w:t>
      </w:r>
    </w:p>
    <w:p>
      <w:r>
        <w:rPr>
          <w:b w:val="0"/>
          <w:i/>
          <w:sz w:val="22"/>
        </w:rPr>
        <w:t>Профиль: мужчина 58 лет, АГ ≥5 лет, на бисопрололе 5 мг (получает по АГ); 2 месяца — впервые загрудинный дискомфорт при подъёме на 2 этаж. АД 148/92, ЧСС 76. ФР: курильщик, дислипидемия, отягощённый семейный анамнез.</w:t>
      </w:r>
    </w:p>
    <w:p>
      <w:pPr>
        <w:pStyle w:val="ListBullet"/>
      </w:pPr>
      <w:r>
        <w:t>Голосование 1: какова ПТВ? Что назначить дальше — CAC / стресс-ЭхоКГ / КАГ? (отсылка к Части 1.3)</w:t>
      </w:r>
    </w:p>
    <w:p>
      <w:pPr>
        <w:pStyle w:val="ListBullet"/>
      </w:pPr>
      <w:r>
        <w:t>Голосование 2: нужно ли отменять бисопролол перед стресс-тестом? — переход к практическому правилу.</w:t>
      </w:r>
    </w:p>
    <w:p>
      <w:pPr>
        <w:pStyle w:val="ListBullet"/>
      </w:pPr>
      <w:r>
        <w:t>Развязка: CAC = 175; стресс-ЭхоКГ — без зон гипокинеза. Диагноз: ХКС, стенокардия напряжения ФК II на фоне субоптимально контролируемой АГ.</w:t>
      </w:r>
    </w:p>
    <w:p>
      <w:pPr>
        <w:pStyle w:val="ListBullet"/>
      </w:pPr>
      <w:r>
        <w:t>Терапевтическое решение: титрация бисопролола до 10 мг + добавление амлодипина 5 мг → при достижении стабильности — switch на Конкор АМ 10/5. Целевая ЧСС 55–60, целевое АД &lt;130/80.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Ключевой кейс школы — отрабатывает весь стратегический нарратив: стенокардия на фоне АГ → Конкор АМ. Согласовать с Кашталапом окончательный профиль (возраст, ФР, числа).</w:t>
      </w:r>
    </w:p>
    <w:p>
      <w:pPr>
        <w:pStyle w:val="Heading3"/>
      </w:pPr>
      <w:r>
        <w:rPr>
          <w:color w:val="1F3A68"/>
        </w:rPr>
        <w:t>Кейс 2. CAC = 302 без нагрузочного теста: ОМТ или направление на КАГ (20 мин)</w:t>
      </w:r>
    </w:p>
    <w:p>
      <w:r>
        <w:rPr>
          <w:b w:val="0"/>
          <w:i/>
          <w:sz w:val="22"/>
        </w:rPr>
        <w:t>Профиль: женщина 64 года, АГ, СД 2 типа, дислипидемия. Стенокардия ФК II–III. На бисопрололе 5 мг + амлодипине 5 мг (свободная комбинация). CAC = 302 (выполнен амбулаторно по инициативе пациента). Нагрузочный тест не выполнялся.</w:t>
      </w:r>
    </w:p>
    <w:p>
      <w:pPr>
        <w:pStyle w:val="ListBullet"/>
      </w:pPr>
      <w:r>
        <w:t>Голосование 1: нужен ли стресс-тест при CAC = 302 и клинике ФК II–III?</w:t>
      </w:r>
    </w:p>
    <w:p>
      <w:pPr>
        <w:pStyle w:val="ListBullet"/>
      </w:pPr>
      <w:r>
        <w:t>Голосование 2: продолжать ли БАБ/АК перед стресс-тестом или отменять?</w:t>
      </w:r>
    </w:p>
    <w:p>
      <w:pPr>
        <w:pStyle w:val="ListBullet"/>
      </w:pPr>
      <w:r>
        <w:t>Развязка: стресс-ЭхоКГ на фоне терапии — 2 сегмента гипокинеза в бассейне ПНА; ФРК-расчёт не выполнен. Решение: усилить ОМТ (титрация до 10 мг бисопролола, амлодипин до 10 мг → switch на Конкор АМ 10/10) + плановая КАГ.</w:t>
      </w:r>
    </w:p>
    <w:p>
      <w:pPr>
        <w:pStyle w:val="ListBullet"/>
      </w:pPr>
      <w:r>
        <w:t>Обсуждение: критерии направления на КАГ; «гарантийный срок» CAC=0 как контрпример из Части 1.4.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Этот кейс — прямой перенос «дополнительного материала» из v0.1 программы. Согласовать с Гражданкиным интерпретацию CAC = 302 в контексте КР РФ vs ESC.</w:t>
      </w:r>
    </w:p>
    <w:p>
      <w:pPr>
        <w:pStyle w:val="Heading3"/>
      </w:pPr>
      <w:r>
        <w:rPr>
          <w:color w:val="1F3A68"/>
        </w:rPr>
        <w:t>Кейс 3. Пациент с ПИКС + ХСНнФВ + АГ: где Конкор АМ, где Конкор моно (20 мин)</w:t>
      </w:r>
    </w:p>
    <w:p>
      <w:r>
        <w:rPr>
          <w:b w:val="0"/>
          <w:i/>
          <w:sz w:val="22"/>
        </w:rPr>
        <w:t>Профиль: мужчина 67 лет, ИМ передний 14 мес назад, ЧКВ ПНА с DES, ФВ ЛЖ 38%, АГ. Получает бисопролол 5 мг, лозартан 50 мг, аторвастатин, АСК. ЧСС 78, АД 142/86. Стенокардия — нет, есть одышка при умеренной нагрузке.</w:t>
      </w:r>
    </w:p>
    <w:p>
      <w:pPr>
        <w:pStyle w:val="ListBullet"/>
      </w:pPr>
      <w:r>
        <w:t>Голосование 1: какова цель по ЧСС и АД у этого пациента?</w:t>
      </w:r>
    </w:p>
    <w:p>
      <w:pPr>
        <w:pStyle w:val="ListBullet"/>
      </w:pPr>
      <w:r>
        <w:t>Голосование 2: правильна ли тактика добавления амлодипина для контроля АД при ХСНнФВ?</w:t>
      </w:r>
    </w:p>
    <w:p>
      <w:pPr>
        <w:pStyle w:val="ListBullet"/>
      </w:pPr>
      <w:r>
        <w:t>Развязка: титрация бисопролола до 10 мг (главный приоритет — прогноз при ХСНнФВ), пересмотр блокатора РААС (сартан → АРНИ при возможности), SGLT2-i. Амлодипин — резерв, не первая линия при ХСНнФВ; Конкор АМ как фиксированная комбинация при HFrEF не приоритет.</w:t>
      </w:r>
    </w:p>
    <w:p>
      <w:pPr>
        <w:pStyle w:val="ListBullet"/>
      </w:pPr>
      <w:r>
        <w:t>Обсуждение: контраст с Кейсом 1 — почему «не все пациенты на бисопрололе + амлодипине = кандидаты на Конкор АМ».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Этот кейс — «обратный пример», нужный для комплаенса и для предотвращения ложного обобщения «бисопролол + амлодипин = всегда Конкор АМ». Согласовать с Кашталапом.</w:t>
      </w:r>
    </w:p>
    <w:p>
      <w:pPr>
        <w:pStyle w:val="Heading3"/>
      </w:pPr>
      <w:r>
        <w:rPr>
          <w:color w:val="1F3A68"/>
        </w:rPr>
        <w:t>Устный доклад приглашённого врача (≤7 мин)</w:t>
      </w:r>
    </w:p>
    <w:p>
      <w:pPr>
        <w:pStyle w:val="ListBullet"/>
      </w:pPr>
      <w:r>
        <w:t>Свой клинический случай по теме «титрация бисопролола / переход на ФК» — выбрать заранее.</w:t>
      </w:r>
    </w:p>
    <w:p>
      <w:pPr>
        <w:ind w:left="283"/>
      </w:pPr>
      <w:r>
        <w:rPr>
          <w:b/>
          <w:color w:val="B8860B"/>
        </w:rPr>
        <w:t xml:space="preserve">Уточнить: </w:t>
      </w:r>
      <w:r>
        <w:rPr>
          <w:i/>
          <w:color w:val="B8860B"/>
        </w:rPr>
        <w:t>Определить кандидатов заблаговременно (за 2–3 недели). Согласовать тему и хронометраж. Подготовить шаблон 1 слайд = 1 минута.</w:t>
      </w:r>
    </w:p>
    <w:p>
      <w:pPr>
        <w:pStyle w:val="Heading3"/>
      </w:pPr>
      <w:r>
        <w:rPr>
          <w:color w:val="1F3A68"/>
        </w:rPr>
        <w:t>Сводная дискуссия (8 мин)</w:t>
      </w:r>
    </w:p>
    <w:p>
      <w:pPr>
        <w:pStyle w:val="ListBullet"/>
      </w:pPr>
      <w:r>
        <w:t>Что вы измените в своей практике с понедельника — голосование из 3–4 опций.</w:t>
      </w:r>
    </w:p>
    <w:p>
      <w:pPr>
        <w:pStyle w:val="ListBullet"/>
      </w:pPr>
      <w:r>
        <w:t>Открытые вопросы.</w:t>
      </w:r>
    </w:p>
    <w:p>
      <w:r>
        <w:br w:type="page"/>
      </w:r>
    </w:p>
    <w:p>
      <w:pPr>
        <w:jc w:val="center"/>
        <w:shd w:val="clear" w:color="auto" w:fill="B8860B"/>
      </w:pPr>
      <w:r>
        <w:rPr>
          <w:b/>
          <w:color w:val="FFFFFF"/>
          <w:sz w:val="26"/>
        </w:rPr>
        <w:t>Что нужно от второго эксперта (Кашталап В.В.) до релиза</w:t>
      </w:r>
    </w:p>
    <w:p>
      <w:pPr>
        <w:pStyle w:val="Heading3"/>
      </w:pPr>
      <w:r>
        <w:rPr>
          <w:color w:val="1F3A68"/>
        </w:rPr>
        <w:t>Содержательные согласования</w:t>
      </w:r>
    </w:p>
    <w:p>
      <w:pPr>
        <w:pStyle w:val="ListBullet"/>
      </w:pPr>
      <w:r>
        <w:t>Подтвердить структуру Части 2 (5 подблоков, 60 минут с дискуссией).</w:t>
      </w:r>
    </w:p>
    <w:p>
      <w:pPr>
        <w:pStyle w:val="ListBullet"/>
      </w:pPr>
      <w:r>
        <w:t>Сравнительная таблица БАБ (давать / не давать) — блок 2.1.</w:t>
      </w:r>
    </w:p>
    <w:p>
      <w:pPr>
        <w:pStyle w:val="ListBullet"/>
      </w:pPr>
      <w:r>
        <w:t>Единая или раздельная схема титрации бисопролола (стенокардия / ПИКС / ХСНнФВ) — блок 2.2. Приоритет сценария «стенокардия + АГ».</w:t>
      </w:r>
    </w:p>
    <w:p>
      <w:pPr>
        <w:pStyle w:val="ListBullet"/>
      </w:pPr>
      <w:r>
        <w:t>Окончательный профиль Кейса 1 (стенокардия + АГ → Конкор АМ) — числа, ФР, развязка.</w:t>
      </w:r>
    </w:p>
    <w:p>
      <w:pPr>
        <w:pStyle w:val="ListBullet"/>
      </w:pPr>
      <w:r>
        <w:t>Согласование Кейса 2 (CAC = 302) с диагностической рамкой Гражданкина.</w:t>
      </w:r>
    </w:p>
    <w:p>
      <w:pPr>
        <w:pStyle w:val="ListBullet"/>
      </w:pPr>
      <w:r>
        <w:t>Включение Кейса 3 (ПИКС + ХСНнФВ) как «обратного примера» — подтвердить.</w:t>
      </w:r>
    </w:p>
    <w:p>
      <w:pPr>
        <w:pStyle w:val="Heading3"/>
      </w:pPr>
      <w:r>
        <w:rPr>
          <w:color w:val="1F3A68"/>
        </w:rPr>
        <w:t>Технические согласования</w:t>
      </w:r>
    </w:p>
    <w:p>
      <w:pPr>
        <w:pStyle w:val="ListBullet"/>
      </w:pPr>
      <w:r>
        <w:t>Готовит ли он презентацию полностью или работает с заранее подготовленным шаблоном?</w:t>
      </w:r>
    </w:p>
    <w:p>
      <w:pPr>
        <w:pStyle w:val="ListBullet"/>
      </w:pPr>
      <w:r>
        <w:t>Нужны ли ему слайды по голосованиям отдельно, или они встроены в основную презентацию.</w:t>
      </w:r>
    </w:p>
    <w:p>
      <w:pPr>
        <w:pStyle w:val="ListBullet"/>
      </w:pPr>
      <w:r>
        <w:t>Кандидат на устный доклад от участников — кто, какая тема.</w:t>
      </w:r>
    </w:p>
    <w:p>
      <w:pPr>
        <w:pStyle w:val="ListBullet"/>
      </w:pPr>
      <w:r>
        <w:t>Координация с Гражданкиным: блоки 1.5 (отмена БАБ перед тестом) и 3-Кейс 1, 2 имеют общие места — кто что говорит.</w:t>
      </w:r>
    </w:p>
    <w:p>
      <w:pPr>
        <w:pStyle w:val="Heading3"/>
      </w:pPr>
      <w:r>
        <w:rPr>
          <w:color w:val="1F3A68"/>
        </w:rPr>
        <w:t>Комплаенс-чек до релиза</w:t>
      </w:r>
    </w:p>
    <w:p>
      <w:pPr>
        <w:pStyle w:val="ListBullet"/>
      </w:pPr>
      <w:r>
        <w:t>Единая рамка КР МЗ РФ 2024 как основная; ESC 2024 CCS — с явной маркировкой.</w:t>
      </w:r>
    </w:p>
    <w:p>
      <w:pPr>
        <w:pStyle w:val="ListBullet"/>
      </w:pPr>
      <w:r>
        <w:t>Все «off-label» и непрямые сравнения — явная маркировка в тексте слайдов.</w:t>
      </w:r>
    </w:p>
    <w:p>
      <w:pPr>
        <w:pStyle w:val="ListBullet"/>
      </w:pPr>
      <w:r>
        <w:t>Триметазидин: учесть ограничения EMA 2012.</w:t>
      </w:r>
    </w:p>
    <w:p>
      <w:pPr>
        <w:pStyle w:val="ListBullet"/>
      </w:pPr>
      <w:r>
        <w:t>Сравнение БАБ внутри класса — без явных «голосований» в пользу бисопролола.</w:t>
      </w:r>
    </w:p>
    <w:p>
      <w:pPr>
        <w:pStyle w:val="ListBullet"/>
      </w:pPr>
      <w:r>
        <w:t>Конкор АМ позиционируется как switch с двух монокомпонентов, не как стартовая терапия.</w:t>
      </w:r>
    </w:p>
    <w:p/>
    <w:p>
      <w:r>
        <w:rPr>
          <w:b w:val="0"/>
          <w:i/>
          <w:color w:val="808080"/>
          <w:sz w:val="18"/>
        </w:rPr>
        <w:t>Версия v0.2 от 2026-05-18. Подготовлено для рецензирования экспертом В.В. Кашталапом.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