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0.3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  •  Аудитория: кардиологи (приоритетно), терапевты  •  Эксперты: Гражданкин И.О., Кашталап В.В.  •  Длительность: ~4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— с явной маркировкой источника.</w:t>
      </w:r>
    </w:p>
    <w:p>
      <w:r>
        <w:rPr>
          <w:b w:val="0"/>
          <w:i/>
          <w:sz w:val="22"/>
        </w:rPr>
        <w:t>Слайдовая основа Части 2 и Части 3: дека «Конкор® АМ v2.0 — Фиксированная комбинация бисопролола и амлодипина: приверженность, эффективность, безопасность» (97 слайдов, 14 секций; context/slide-library/). Конфигурация деки соответствует утверждённой Теме 1 «Стабильная стенокардия + АГ: роль FDC в эпоху реваскуляризации» (блоки 1–6 + 9).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16:20</w:t>
            </w:r>
          </w:p>
        </w:tc>
        <w:tc>
          <w:tcPr>
            <w:tcW w:type="dxa" w:w="2160"/>
          </w:tcPr>
          <w:p>
            <w:r>
              <w:t>Часть 1. Диагностика и стратификация риска ИБС</w:t>
            </w:r>
          </w:p>
        </w:tc>
        <w:tc>
          <w:tcPr>
            <w:tcW w:type="dxa" w:w="2160"/>
          </w:tcPr>
          <w:p>
            <w:r>
              <w:t>Лекция + интерактив (75 мин)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16:20 – 16:35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Перерыв 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16:35 – 17:35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+ дискуссия (60 мин)</w:t>
            </w:r>
          </w:p>
        </w:tc>
        <w:tc>
          <w:tcPr>
            <w:tcW w:type="dxa" w:w="2160"/>
          </w:tcPr>
          <w:p>
            <w:r>
              <w:t>Кашталап</w:t>
            </w:r>
          </w:p>
        </w:tc>
      </w:tr>
      <w:tr>
        <w:tc>
          <w:tcPr>
            <w:tcW w:type="dxa" w:w="2160"/>
          </w:tcPr>
          <w:p>
            <w:r>
              <w:t>17:35 – 17:50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Перерыв 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17:50 – 19:05</w:t>
            </w:r>
          </w:p>
        </w:tc>
        <w:tc>
          <w:tcPr>
            <w:tcW w:type="dxa" w:w="2160"/>
          </w:tcPr>
          <w:p>
            <w:r>
              <w:t>Часть 3. Клинические разборы (3 сквозных кейса)</w:t>
            </w:r>
          </w:p>
        </w:tc>
        <w:tc>
          <w:tcPr>
            <w:tcW w:type="dxa" w:w="2160"/>
          </w:tcPr>
          <w:p>
            <w:r>
              <w:t>Кейсы + голосование (75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19:05 – 19:15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Свободный формат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При старте в 15:00 школа заканчивается ~19:15. Если запланирован общий ужин — он логично следует сразу за итоговой дискуссией (с 19:15). Если ужин совмещается с программой как «фуршет в середине», вторую кофе-паузу (17:35) можно расширить до 30–40 мин — общее окончание сместится на ~19:30–19:40.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75 минут (60 мин лекция + 15 мин голосование/Q&amp;A)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должен уверенно отвечать: какому пациенту нужен CAC, какому — стресс-визуализация, какому — сразу КАГ.</w:t>
      </w:r>
    </w:p>
    <w:p>
      <w:r>
        <w:rPr>
          <w:b w:val="0"/>
          <w:i/>
          <w:color w:val="B8860B"/>
          <w:sz w:val="22"/>
        </w:rPr>
        <w:t>Основано на имеющейся презентации эксперта (70 слайдов). До релиза слайды требуют технической правки — см. отдельный документ «Замечания к PDF Гражданкина».</w:t>
      </w:r>
    </w:p>
    <w:p/>
    <w:p>
      <w:pPr>
        <w:pStyle w:val="Heading3"/>
      </w:pPr>
      <w:r>
        <w:rPr>
          <w:color w:val="1F3A68"/>
        </w:rPr>
        <w:t>1.1  Что такое ИБС / ХКС (5 мин)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 — обозначить, не углубляться.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Согласовать: явно сказать, что 6 категорий — формулировка ESC, КР РФ 2024 использует более компактную классификацию. Это формирует «комплаенс-рамку» на весь день.</w:t>
      </w:r>
    </w:p>
    <w:p>
      <w:pPr>
        <w:pStyle w:val="Heading3"/>
      </w:pPr>
      <w:r>
        <w:rPr>
          <w:color w:val="1F3A68"/>
        </w:rPr>
        <w:t>1.2  Симптомы и предтестовая вероятность (15 мин)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2013 → 2019 → КР РФ 2024: показать эволюцию, акцент на актуальной таблице.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В слайдах используется таблица ПТВ 2013 (значения 59–93%) — она избыточна для практики. Согласовать с экспертом: оставить только таблицу из КР РФ 2024 как основную; ESC 2019 «по запросу» в backup-слайде.</w:t>
      </w:r>
    </w:p>
    <w:p>
      <w:pPr>
        <w:pStyle w:val="Heading3"/>
      </w:pPr>
      <w:r>
        <w:rPr>
          <w:color w:val="1F3A68"/>
        </w:rPr>
        <w:t>1.3  Стратегия обследования по ПТВ (15 мин)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Согласовать: КР РФ 2024 vs ESC 2024 расходятся в позиционировании КТА как метода первой линии при промежуточной ПТВ. Дать обе позиции с маркером источника.</w:t>
      </w:r>
    </w:p>
    <w:p>
      <w:pPr>
        <w:pStyle w:val="Heading3"/>
      </w:pPr>
      <w:r>
        <w:rPr>
          <w:color w:val="1F3A68"/>
        </w:rPr>
        <w:t>1.4  Коронарный кальций (CAC) (10 мин)</w:t>
      </w:r>
    </w:p>
    <w:p>
      <w:pPr>
        <w:pStyle w:val="ListBullet"/>
      </w:pPr>
      <w:r>
        <w:t>Шкала Агатсона. Современные диагностические бины: 0 / 1–99 / 100–299 / ≥300 — унифицировать с программой.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Технический комментарий: в PDF Гражданкина бины указаны как 0/1–10/11–100/101–400/&gt;400 — это устаревший вариант. На странице 8–10 PDF также присутствует «пациентский» блок («Кальций в костях — хорошо…»), сгенерированный, по-видимому, нейросетью — для аудитории кардиологов его следует убрать или переработать.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 (15 мин)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на интерпретацию: маскировка симптомов, снижение ЧСС-ответа, критерии субмаксимальной нагрузки. — Переход к Части 3 (детальный разбор отмены).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Сравнительная таблица методов (доступность, ИМТ, ритм, функция почек) — одним слайдом; формат согласовать.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 (10 мин)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ISCHEMIA: упомянуть как обоснование тезиса «ОМТ — равноправная стратегия», без углублённого разбора. Согласовать формулировку с экспертом.</w:t>
      </w:r>
    </w:p>
    <w:p>
      <w:pPr>
        <w:pStyle w:val="Heading3"/>
      </w:pPr>
      <w:r>
        <w:rPr>
          <w:color w:val="1F3A68"/>
        </w:rPr>
        <w:t>1.7  Интерактив и голосование (включено в общие 75 мин)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Открытые вопросы из зала — после блока 1.6.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 с маркетинговым отделом: какая платформа для голосования (Mentimeter / встроенная в зал система / QR-код).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60 минут (45 мин лекция + 15 мин дискуссия)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мг,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(7 мин)</w:t>
      </w:r>
    </w:p>
    <w:p>
      <w:r>
        <w:rPr>
          <w:b w:val="0"/>
          <w:i/>
          <w:color w:val="555555"/>
          <w:sz w:val="22"/>
        </w:rPr>
        <w:t>Слайды деки: блок 1 (3–12) ИБС-концепция + блок 2 (13–17) ОМТ как стратегия. Опорные слайды: 9 (Diamond Approach ESC 2024), 12 (резюме блока 1), 16 (КР МЗ РФ по АГ + ИБС), 17 (резюме блока 2).</w:t>
      </w:r>
    </w:p>
    <w:p>
      <w:pPr>
        <w:pStyle w:val="ListBullet"/>
      </w:pPr>
      <w:r>
        <w:t>Стабильная стенокардия — лишь одна из форм ХКС. Концепция ESC 2024.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(12 мин)</w:t>
      </w:r>
    </w:p>
    <w:p>
      <w:r>
        <w:rPr>
          <w:b w:val="0"/>
          <w:i/>
          <w:color w:val="555555"/>
          <w:sz w:val="22"/>
        </w:rPr>
        <w:t>Слайды деки: блок 3 (18–23). Опорные слайды: 20 (место среди других β-блокаторов — готовый ответ на вопрос про небиволол), 22 (амфофильность), 23 (резюме). Плюс — слайд по титрации до 10 мг (открытая задача №1 в карточке деки: проверить наличие; если нет — собрать с нуля).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 (слайд 20).</w:t>
      </w:r>
    </w:p>
    <w:p>
      <w:pPr>
        <w:pStyle w:val="ListBullet"/>
      </w:pPr>
      <w:r>
        <w:t>Целевая ЧСС покоя 55–60/мин при стенокардии; целевое АД по КР РФ АГ 2024.</w:t>
      </w:r>
    </w:p>
    <w:p>
      <w:pPr>
        <w:pStyle w:val="ListBullet"/>
      </w:pPr>
      <w:r>
        <w:t>Стартовая доза 2,5–5 мг → титрация → целевая 10 мг за 2–6 недель. «10 мг — это норма, а не максимум»: данные дозо-зависимости, реальная практика недотитрации.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Открытая задача №1 из карточки деки: проверить наличие специального слайда по титрации до 10 мг. Если в деке нет — собрать 1 слайд под школу (стартовые дозы, интервалы, целевые уровни ЧСС/АД, что мониторировать).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(12 мин)</w:t>
      </w:r>
    </w:p>
    <w:p>
      <w:r>
        <w:rPr>
          <w:b w:val="0"/>
          <w:i/>
          <w:color w:val="555555"/>
          <w:sz w:val="22"/>
        </w:rPr>
        <w:t>Слайды деки: блок 4 (24–29) ОМТ vs реваскуляризация + блок 5 (30–35) БАБ + ДГП-БКК. Опорные слайды: 28 (ORBITA — большинство пациентов получали бисопролол и амлодипин), 29 (резюме блока 4), 34 (эволюция доказательной базы), 35 (резюме блока 5). Блок 4 — Евгений особо просит запомнить как главный контраргумент на «давайте сразу стент».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 (тезис согласован с Гражданкиным в Части 1.6).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EMA 2012 ограничения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(12 мин)</w:t>
      </w:r>
    </w:p>
    <w:p>
      <w:r>
        <w:rPr>
          <w:b w:val="0"/>
          <w:i/>
          <w:color w:val="555555"/>
          <w:sz w:val="22"/>
        </w:rPr>
        <w:t>Слайды деки: блок 6 (36–41) Таблетка Конкор АМ + блок 10 (56–64) Приверженность FDC → СС-исходы + блок 11 (65–77) RWE. Опорные слайды: 40 (ESC 2024 поддержка FDC при ХКС), 41 (резюме блока 6), 63 (Berra 2016), 64 (резюме блока 10), 77 (резюме блока 11). Новая связка v2.0: Verma 2018 + Rea 2018 + Selak 2024 — приверженность ведёт к снижению твёрдых СС-исходов.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 (RWE):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 — бисопролол отдельно в целевой дозе + АРНИ + SGLT2-i ± АМКР);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ИБС/ХСН, когда нужна тиазид-компонента.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Подтвердить с Кашталапом структуру блока 2.4: 12 мин = 3 мин фарма + 4 мин приверженность + 3 мин RWE + 2 мин «когда не подходит». Конкор НСТ — одной строкой, без углубления.</w:t>
      </w:r>
    </w:p>
    <w:p>
      <w:pPr>
        <w:pStyle w:val="Heading3"/>
      </w:pPr>
      <w:r>
        <w:rPr>
          <w:color w:val="1F3A68"/>
        </w:rPr>
        <w:t>2.5  Бисопролол при коморбидностях (12 мин)</w:t>
      </w:r>
    </w:p>
    <w:p>
      <w:r>
        <w:rPr>
          <w:b w:val="0"/>
          <w:i/>
          <w:color w:val="555555"/>
          <w:sz w:val="22"/>
        </w:rPr>
        <w:t>Слайды деки: блок 13 (81–96) Безопасность бисопролола. Опорные слайды: 84 (Maccabi 2025, метаболика), 85 (PAD, COPART), 86 (ожирение, Foch 2022), 87 (контекст BLOCK-COPD), 88 (PACE 2026 — ключевой), 89 (ХБП, фармакокинетика), 90 (гемодиализ, Wu 2021), 96 (финальное резюме).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Тайвань, propensity matching): благоприятный профиль; коррекция дозы при СКФ &lt;40.</w:t>
      </w:r>
    </w:p>
    <w:p>
      <w:pPr>
        <w:pStyle w:val="ListBullet"/>
      </w:pPr>
      <w:r>
        <w:t>PAD (атеросклероз нижних конечностей) — Mirault/COPART 2017 (n=1267): нет ухудшения симптомов перемежающейся хромоты.</w:t>
      </w:r>
    </w:p>
    <w:p>
      <w:pPr>
        <w:pStyle w:val="ListBullet"/>
      </w:pPr>
      <w:r>
        <w:t>Метаболика — Maccabi 2025: метаболическая нейтральность бисопролола в широкой реальной популяции.</w:t>
      </w:r>
    </w:p>
    <w:p>
      <w:pPr>
        <w:pStyle w:val="ListBullet"/>
      </w:pPr>
      <w:r>
        <w:t>СД2 — β1-селективность не ухудшает гликемический контроль, не маскирует гипогликемию в той же степени, что неселективные. Перекличка с Кейсом 2 (пациентка 64 лет с СД2).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СД2-слайд: в текущей деке (97 слайдов) специального слайда по СД2 нет — есть Maccabi 2025 по метаболике. Решение — добавлять отдельный слайд по СД2 под школу или ограничиться 1 устным тезисом в рамках 2.5. Согласовать с Кашталапом.</w:t>
      </w:r>
    </w:p>
    <w:p>
      <w:pPr>
        <w:pStyle w:val="Heading3"/>
      </w:pPr>
      <w:r>
        <w:rPr>
          <w:color w:val="1F3A68"/>
        </w:rPr>
        <w:t>2.6  Дискуссия (5 мин)</w:t>
      </w:r>
    </w:p>
    <w:p>
      <w:pPr>
        <w:pStyle w:val="ListBullet"/>
      </w:pPr>
      <w:r>
        <w:t>Вопросы из зала; разбор спорных моментов (например, целевая ЧСС при ХСНуФВ, тактика при «непереносимости» БАБ).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75 минут</w:t>
      </w:r>
    </w:p>
    <w:p>
      <w:r>
        <w:rPr>
          <w:b w:val="0"/>
          <w:i/>
          <w:sz w:val="22"/>
        </w:rPr>
        <w:t>Формат: 3 кейса по ~20 минут + 15 минут на сводную дискуссию. Каждый кейс — голосование + обсуждение, без повторной теоретической части.</w:t>
      </w:r>
    </w:p>
    <w:p/>
    <w:p>
      <w:pPr>
        <w:pStyle w:val="Heading3"/>
      </w:pPr>
      <w:r>
        <w:rPr>
          <w:color w:val="1F3A68"/>
        </w:rPr>
        <w:t>Соответствие кейсов лекции Гражданкина (Часть 1)</w:t>
      </w:r>
    </w:p>
    <w:p>
      <w:r>
        <w:rPr>
          <w:b w:val="0"/>
          <w:i/>
          <w:sz w:val="22"/>
        </w:rPr>
        <w:t>Каждый кейс отрабатывает конкретный шаг алгоритма из Части 1 — это объявляется на открытии блока, чтобы аудитория видела связку, а не разрозненные сюжеты.</w:t>
      </w:r>
    </w:p>
    <w:p>
      <w:pPr>
        <w:pStyle w:val="ListBullet"/>
      </w:pPr>
      <w:r>
        <w:t>Кейс 1 — симптомный пациент без установленного диагноза: ПТВ (1.2) → стратегия по ПТВ (1.3) → стресс-визуализация (1.5) → решение об ОМТ vs КАГ (1.6). Слайды деки: блок 9 (49–55), Чесникова 2014 / Скибицкий 2015 — с дисклеймером «получены у».</w:t>
      </w:r>
    </w:p>
    <w:p>
      <w:pPr>
        <w:pStyle w:val="ListBullet"/>
      </w:pPr>
      <w:r>
        <w:t>Кейс 2 — высокий CAC при уже получаемой терапии: CAC и его реклассифицирующая роль (1.4) → стресс-ЭхоКГ на фоне БАБ (1.5) → ОМТ-интенсификация + плановая КАГ (1.6). Слайды деки: блок 11 (65–77, реальная практика на FDC), коморбидности из блока 13 (СД2-связанная метаболика).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(1.5) → КАГ + FFR (1.6) → ЧКВ → post-PCI бисопролол + амлодипин → Конкор АМ. Слайды деки: блок 4 (24–29, ОМТ vs реваскуляризация — главный контраргумент на «давайте сразу стент»), слайд 28 (ORBITA).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(20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2024? Ориентир: мужчина 50–59 с типичной стенокардией ≈ 22% (нижняя треть промежуточной зоны 15–65%). Какой метод следующий — стресс-ЭхоКГ / стресс-сцинтиграфия / КТА / CAC? Правильный путь по алгоритму Части 1.3 — стресс-визуализация; CAC у симптомного пациента избыточен.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для дискуссии — симптоматическое облегчение vs риск маскировки картины на стресс-тесте (см. Часть 1.5).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по Гражданкину —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целевой 10 мг за 2–4 недели (целевая ЧСС 55–60). Амлодипин — оставить 5 мг или повысить до 10 мг по контролю АД. При стабильности на 10 мг бисопролола + 5/10 мг амлодипина → switch на Конкор АМ 10/5 (или 10/10). Вальсартан 160 мг продолжается отдельной таблеткой. Итого: 2 таблетки вместо 3. Целевое АД &lt;130/80, целевая ЧСС 55–60.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Ключевой кейс школы — отрабатывает весь стратегический нарратив: стенокардия на фоне АГ → титрация бисопролола до 10 мг → переход на Конкор АМ. Согласовать с Кашталапом числа (ЛНП, ЧСС, шаги титрации) и формулировку голосований. ПТВ-число (22%) сверить с конкретной таблицей РКО 2024 в финальной версии слайдов Гражданкина.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РЕГУЛЯТОРНЫЙ ДИСКЛЕЙМЕР: Конкор АМ зарегистрирован для лечения АГ. При использовании в этом кейсе слайдов деки блок 9 (Чесникова 2014, Скибицкий 2015 — данные у пациентов с АГ + ИБС) — на слайде обязательна формулировка: «Конкор® АМ зарегистрирован для лечения АГ. Данные получены у пациентов с АГ и сопутствующей ИБС.» Запрещена формулировка «применимы для». Согласование с юристами/комплаенс Merck — открытая задача из карточки деки.</w:t>
      </w:r>
    </w:p>
    <w:p>
      <w:pPr>
        <w:pStyle w:val="Heading3"/>
      </w:pPr>
      <w:r>
        <w:rPr>
          <w:color w:val="1F3A68"/>
        </w:rPr>
        <w:t>Кейс 2. CAC = 302 без нагрузочного теста: ОМТ или направление на КАГ (20 мин)</w:t>
      </w:r>
    </w:p>
    <w:p>
      <w:r>
        <w:rPr>
          <w:b w:val="0"/>
          <w:i/>
          <w:sz w:val="22"/>
        </w:rPr>
        <w:t>Профиль: женщина 64 года, АГ, СД 2 типа, дислипидемия. Стенокардия ФК II–III. На бисопрололе 5 мг + амлодипине 5 мг (свободная комбинация). CAC = 302 (выполнен амбулаторно по инициативе пациента). Нагрузочный тест не выполнялся.</w:t>
      </w:r>
    </w:p>
    <w:p>
      <w:pPr>
        <w:pStyle w:val="ListBullet"/>
      </w:pPr>
      <w:r>
        <w:t>Голосование 1: нужен ли стресс-тест при CAC = 302 и клинике ФК II–III?</w:t>
      </w:r>
    </w:p>
    <w:p>
      <w:pPr>
        <w:pStyle w:val="ListBullet"/>
      </w:pPr>
      <w:r>
        <w:t>Голосование 2: продолжать ли БАБ/АК перед стресс-тестом или отменять?</w:t>
      </w:r>
    </w:p>
    <w:p>
      <w:pPr>
        <w:pStyle w:val="ListBullet"/>
      </w:pPr>
      <w:r>
        <w:t>Развязка: стресс-ЭхоКГ на фоне терапии — 2 сегмента гипокинеза в бассейне ПНА; ФРК-расчёт не выполнен. Решение: усилить ОМТ (титрация до 10 мг бисопролола, амлодипин до 10 мг → switch на Конкор АМ 10/10) + плановая КАГ.</w:t>
      </w:r>
    </w:p>
    <w:p>
      <w:pPr>
        <w:pStyle w:val="ListBullet"/>
      </w:pPr>
      <w:r>
        <w:t>Обсуждение: критерии направления на КАГ; «гарантийный срок» CAC=0 как контрпример из Части 1.4.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Этот кейс — прямой перенос «дополнительного материала» из v0.1 программы. Согласовать с Гражданкиным интерпретацию CAC = 302 в контексте КР РФ vs ESC.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(20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 лестницы.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 (Часть 1.3, 1.5).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 Гражданкина: ≥3 сегмента = high-risk imaging → плановая КАГ (Часть 1.5, 1.6).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 (тезис Гражданкина о проксимальном поражении ПНА).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I); решение о пожизненной терапии — индивидуально.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 (принцип Части 2.4).</w:t>
      </w:r>
    </w:p>
    <w:p>
      <w:pPr>
        <w:pStyle w:val="ListBullet"/>
      </w:pPr>
      <w:r>
        <w:t>Терапевтическое решение: ДАТ (АСК 100 + клопидогрел/тикагрелор) по срокам КР РФ; высокоинтенсивный статин (аторвастатин 80 / розувастатин 40) → целевой ЛНП &lt;1,4 ммоль/л;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на 10 мг бисопролола + 5/10 мг амлодипина → switch на Конкор АМ 10/5 (или 10/10). Итого: Конкор АМ + вальсартан + статин + АСК + P2Y12-ингибитор по сроку.</w:t>
      </w:r>
    </w:p>
    <w:p>
      <w:pPr>
        <w:pStyle w:val="ListBullet"/>
      </w:pPr>
      <w:r>
        <w:t>Обсуждение: ключевой тезис кейса — «реваскуляризация не отменяет ОМТ, а её дополняет». Бисопролол при ИБС со стенокардией обязателен (класс I), целевая доза 10 мг. Конкор АМ — стандартная часть долгосрочной терапии пациента с АГ + ИБС после ЧКВ.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 с Кашталапом окончательные числа (ЛНП-цель, шаги титрации, выбор P2Y12-ингибитора) и формулировку голосований. С Гражданкиным — соответствие 4 сегментов гипокинеза формальному критерию ≥3 на его слайде стресс-ЭхоКГ.</w:t>
      </w:r>
    </w:p>
    <w:p>
      <w:pPr>
        <w:pStyle w:val="Heading3"/>
      </w:pPr>
      <w:r>
        <w:rPr>
          <w:color w:val="1F3A68"/>
        </w:rPr>
        <w:t>Сводная дискуссия (15 мин)</w:t>
      </w:r>
    </w:p>
    <w:p>
      <w:pPr>
        <w:pStyle w:val="ListBullet"/>
      </w:pPr>
      <w:r>
        <w:t>Что вы измените в своей практике с понедельника — голосование из 3–4 опций.</w:t>
      </w:r>
    </w:p>
    <w:p>
      <w:pPr>
        <w:pStyle w:val="ListBullet"/>
      </w:pPr>
      <w:r>
        <w:t>Открытые вопросы.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Что нужно от первого эксперта (Гражданкин И.О.) до релиза</w:t>
      </w:r>
    </w:p>
    <w:p>
      <w:pPr>
        <w:pStyle w:val="Heading3"/>
      </w:pPr>
      <w:r>
        <w:rPr>
          <w:color w:val="1F3A68"/>
        </w:rPr>
        <w:t>Содержательные правки PDF (70 слайдов)</w:t>
      </w:r>
    </w:p>
    <w:p>
      <w:pPr>
        <w:pStyle w:val="ListBullet"/>
      </w:pPr>
      <w:r>
        <w:t>Бины CAC: обновить с устаревших (0 / 1–10 / 11–100 / 101–400 / &gt;400) на современные 0 / 1–99 / 100–299 / ≥300 — унифицировать с программой и Кейсом 2.</w:t>
      </w:r>
    </w:p>
    <w:p>
      <w:pPr>
        <w:pStyle w:val="ListBullet"/>
      </w:pPr>
      <w:r>
        <w:t>Таблицы ПТВ: оставить РКО 2024 как основную для практики; ESC 2013 и ESC 2019 — в backup-слайдах для исторической перспективы. Кейс 1 ссылается на РКО 2024 (≈22% для мужчины 50–59 с типичной стенокардией).</w:t>
      </w:r>
    </w:p>
    <w:p>
      <w:pPr>
        <w:pStyle w:val="ListBullet"/>
      </w:pPr>
      <w:r>
        <w:t>«Пациентский» блок про CAC в середине деки («Кальций в костях — хорошо», «отличный результат» и т.п., визуально сгенерирован нейросетью) — удалить или переработать под уровень аудитории кардиологов.</w:t>
      </w:r>
    </w:p>
    <w:p>
      <w:pPr>
        <w:pStyle w:val="ListBullet"/>
      </w:pPr>
      <w:r>
        <w:t>Добавить 1 слайд по «гарантийному сроку CAC = 0» (MESA 2021: 3–7 лет; мета-анализ 2024) и контр-факту: у симптомных CAC = 0 не исключает обструкции (~25% по данным 2025 г.) — это работает как «pearl» для аудитории и используется в Кейсе 2.</w:t>
      </w:r>
    </w:p>
    <w:p>
      <w:pPr>
        <w:pStyle w:val="ListBullet"/>
      </w:pPr>
      <w:r>
        <w:t>Сноска к слайду «реваскуляризация не снижает риски ИМ/смерти»: дать корректное ограничение — речь о стабильной ИБС/ХКС, не о всех ситуациях (ОКС, поражение ствола ЛКА, многососудистое поражение с проксимальным стенозом — отдельные показания).</w:t>
      </w:r>
    </w:p>
    <w:p>
      <w:pPr>
        <w:pStyle w:val="Heading3"/>
      </w:pPr>
      <w:r>
        <w:rPr>
          <w:color w:val="1F3A68"/>
        </w:rPr>
        <w:t>Соответствие алгоритма кейсам Части 3</w:t>
      </w:r>
    </w:p>
    <w:p>
      <w:pPr>
        <w:pStyle w:val="ListBullet"/>
      </w:pPr>
      <w:r>
        <w:t>В финальном алгоритме (последний слайд PDF) после «положительная стресс-визуализация» добавить разветвление: ≥3 сегмента / ≥10% перфузионного дефекта → КАГ; &lt;3 сегментов / &lt;10% → возможно начать с ОМТ. Это критично для Кейса 1 (голосование 3 опирается на этот критерий).</w:t>
      </w:r>
    </w:p>
    <w:p>
      <w:pPr>
        <w:pStyle w:val="ListBullet"/>
      </w:pPr>
      <w:r>
        <w:t>В блоке «6 категорий ХКС» (слайд 2 PDF) акцентировать категорию 4 — это входная точка для Кейса 3 (возврат стенокардии после реваскуляризации).</w:t>
      </w:r>
    </w:p>
    <w:p>
      <w:pPr>
        <w:pStyle w:val="ListBullet"/>
      </w:pPr>
      <w:r>
        <w:t>Сравнительная таблица стресс-методов (доступность, ИМТ, ритм, ХБП): подготовить или подтвердить, что есть в существующей деке.</w:t>
      </w:r>
    </w:p>
    <w:p>
      <w:pPr>
        <w:pStyle w:val="Heading3"/>
      </w:pPr>
      <w:r>
        <w:rPr>
          <w:color w:val="1F3A68"/>
        </w:rPr>
        <w:t>Технические согласования</w:t>
      </w:r>
    </w:p>
    <w:p>
      <w:pPr>
        <w:pStyle w:val="ListBullet"/>
      </w:pPr>
      <w:r>
        <w:t>Финальный хронометраж лекции — 75 мин с 3–5 встроенными голосованиями. Подтвердить, что готов сократить с привычных 1,5–2 часов.</w:t>
      </w:r>
    </w:p>
    <w:p>
      <w:pPr>
        <w:pStyle w:val="ListBullet"/>
      </w:pPr>
      <w:r>
        <w:t>Голосования: на каких слайдах размещаются вопросы; формат (одиночный выбор / множественный).</w:t>
      </w:r>
    </w:p>
    <w:p>
      <w:pPr>
        <w:pStyle w:val="ListBullet"/>
      </w:pPr>
      <w:r>
        <w:t>Координация с Кашталапом: блок 1.5 (отмена БАБ перед тестом) — кто из двух экспертов закрывает эту тему окончательно, чтобы избежать дублирования в Часть 3.</w:t>
      </w:r>
    </w:p>
    <w:p/>
    <w:p>
      <w:pPr>
        <w:jc w:val="center"/>
        <w:shd w:val="clear" w:color="auto" w:fill="B8860B"/>
      </w:pPr>
      <w:r>
        <w:rPr>
          <w:b/>
          <w:color w:val="FFFFFF"/>
          <w:sz w:val="26"/>
        </w:rPr>
        <w:t>Что нужно от второго эксперта (Кашталап В.В.) до релиза</w:t>
      </w:r>
    </w:p>
    <w:p>
      <w:r>
        <w:rPr>
          <w:b w:val="0"/>
          <w:i/>
          <w:sz w:val="22"/>
        </w:rPr>
        <w:t>Основа Части 2 и кейсовых слайдов — готовая дека Конкор® АМ v2.0 (97 слайдов, 14 секций; context/slide-library/). Кашталапу не нужно собирать с нуля — нужно подтвердить структуру и закрыть 2 открытых задачи под нашу школу.</w:t>
      </w:r>
    </w:p>
    <w:p>
      <w:pPr>
        <w:pStyle w:val="Heading3"/>
      </w:pPr>
      <w:r>
        <w:rPr>
          <w:color w:val="1F3A68"/>
        </w:rPr>
        <w:t>Содержательные согласования</w:t>
      </w:r>
    </w:p>
    <w:p>
      <w:pPr>
        <w:pStyle w:val="ListBullet"/>
      </w:pPr>
      <w:r>
        <w:t>Подтвердить структуру Части 2 (6 подблоков, 60 минут): 2.1 БАБ при ИБС (7) + 2.2 молекула + 10 мг (12) + 2.3 ОМТ vs реваскуляризация → БАБ+ДГП-БКК (12) + 2.4 Конкор АМ (12) + 2.5 коморбидности (12) + 2.6 дискуссия (5).</w:t>
      </w:r>
    </w:p>
    <w:p>
      <w:pPr>
        <w:pStyle w:val="ListBullet"/>
      </w:pPr>
      <w:r>
        <w:t>Окончательный профиль Кейса 1 (АГ → впервые стенокардия → Конкор АМ) — числа, ФР, развязка, ПТВ по РКО 2024.</w:t>
      </w:r>
    </w:p>
    <w:p>
      <w:pPr>
        <w:pStyle w:val="ListBullet"/>
      </w:pPr>
      <w:r>
        <w:t>Согласование Кейса 2 (CAC = 302, ОМТ-интенсификация + плановая КАГ).</w:t>
      </w:r>
    </w:p>
    <w:p>
      <w:pPr>
        <w:pStyle w:val="ListBullet"/>
      </w:pPr>
      <w:r>
        <w:t>Согласование Кейса 3 (high-risk ишемия → ЧКВ → post-PCI Конкор АМ) — числа, шаги титрации, выбор P2Y12-ингибитора.</w:t>
      </w:r>
    </w:p>
    <w:p>
      <w:pPr>
        <w:pStyle w:val="Heading3"/>
      </w:pPr>
      <w:r>
        <w:rPr>
          <w:color w:val="1F3A68"/>
        </w:rPr>
        <w:t>Открытые задачи под школу — что собрать дополнительно к деке</w:t>
      </w:r>
    </w:p>
    <w:p>
      <w:pPr>
        <w:pStyle w:val="ListBullet"/>
      </w:pPr>
      <w:r>
        <w:t>Слайд по титрации бисопролола до 10 мг (открытая задача №1 из карточки деки): проверить наличие в текущей версии. Если нет — собрать 1 слайд (стартовые дозы, интервалы, целевые ЧСС/АД, что мониторировать).</w:t>
      </w:r>
    </w:p>
    <w:p>
      <w:pPr>
        <w:pStyle w:val="ListBullet"/>
      </w:pPr>
      <w:r>
        <w:t>Слайд по бисопрололу при СД2: в текущей деке (97 слайдов) выделенного слайда нет; есть Maccabi 2025 по метаболике (слайд 84). Решение: добавлять отдельный слайд по СД2 (β1-селективность → нет ухудшения гликемии, маскировка гипогликемии) или ограничиться 1 устным тезисом в рамках 2.5.</w:t>
      </w:r>
    </w:p>
    <w:p>
      <w:pPr>
        <w:pStyle w:val="Heading3"/>
      </w:pPr>
      <w:r>
        <w:rPr>
          <w:color w:val="1F3A68"/>
        </w:rPr>
        <w:t>Технические согласования</w:t>
      </w:r>
    </w:p>
    <w:p>
      <w:pPr>
        <w:pStyle w:val="ListBullet"/>
      </w:pPr>
      <w:r>
        <w:t>Кашталап работает с готовой декой v2.0 целиком или с конфигурацией Темы 1 (блоки 1–6 + 9, ~50 слайдов из 97)? Под наши 60 минут — Тема 1 + блок 13 (коморбидности).</w:t>
      </w:r>
    </w:p>
    <w:p>
      <w:pPr>
        <w:pStyle w:val="ListBullet"/>
      </w:pPr>
      <w:r>
        <w:t>Голосования: интегрировать в основную деку (отдельные слайды-вопросы между блоками) или вести через отдельный инструмент (Mentimeter / встроенная система зала).</w:t>
      </w:r>
    </w:p>
    <w:p>
      <w:pPr>
        <w:pStyle w:val="ListBullet"/>
      </w:pPr>
      <w:r>
        <w:t>Координация с Гражданкиным: блок 1.5 (отмена БАБ перед стресс-тестом) и Кейсы 1–2 имеют общие места — кто что говорит окончательно.</w:t>
      </w:r>
    </w:p>
    <w:p>
      <w:pPr>
        <w:pStyle w:val="Heading3"/>
      </w:pPr>
      <w:r>
        <w:rPr>
          <w:color w:val="1F3A68"/>
        </w:rPr>
        <w:t>Комплаенс-чек до релиза</w:t>
      </w:r>
    </w:p>
    <w:p>
      <w:pPr>
        <w:pStyle w:val="ListBullet"/>
      </w:pPr>
      <w:r>
        <w:t>Единая рамка КР МЗ РФ 2024 как основная; ESC 2024 CCS — с явной маркировкой.</w:t>
      </w:r>
    </w:p>
    <w:p>
      <w:pPr>
        <w:pStyle w:val="ListBullet"/>
      </w:pPr>
      <w:r>
        <w:t>Дисклеймер «получены у» (Конкор АМ зарегистрирован для АГ; данные у АГ + ИБС из блока 9 деки) — обязателен на слайдах Чесникова 2014 / Скибицкий 2015 и в Кейсе 1. Юридическое согласование формулировки — открытая задача из карточки деки.</w:t>
      </w:r>
    </w:p>
    <w:p>
      <w:pPr>
        <w:pStyle w:val="ListBullet"/>
      </w:pPr>
      <w:r>
        <w:t>Все «off-label» и непрямые сравнения — явная маркировка в тексте слайдов.</w:t>
      </w:r>
    </w:p>
    <w:p>
      <w:pPr>
        <w:pStyle w:val="ListBullet"/>
      </w:pPr>
      <w:r>
        <w:t>Триметазидин: учесть ограничения EMA 2012.</w:t>
      </w:r>
    </w:p>
    <w:p>
      <w:pPr>
        <w:pStyle w:val="ListBullet"/>
      </w:pPr>
      <w:r>
        <w:t>Сравнение БАБ внутри класса (слайд 20) — фактические данные без явных «голосований» в пользу бисопролола.</w:t>
      </w:r>
    </w:p>
    <w:p>
      <w:pPr>
        <w:pStyle w:val="ListBullet"/>
      </w:pPr>
      <w:r>
        <w:t>Конкор АМ позиционируется как switch с двух монокомпонентов, не как стартовая терапия.</w:t>
      </w:r>
    </w:p>
    <w:p>
      <w:pPr>
        <w:pStyle w:val="ListBullet"/>
      </w:pPr>
      <w:r>
        <w:t>Конкор НСТ — упоминается одной строкой в 2.4 («родственный продукт для АГ без ИБС»), без углубления.</w:t>
      </w:r>
    </w:p>
    <w:p/>
    <w:p>
      <w:r>
        <w:rPr>
          <w:b w:val="0"/>
          <w:i/>
          <w:color w:val="808080"/>
          <w:sz w:val="18"/>
        </w:rPr>
        <w:t>Версия v0.3 от 2026-05-19. Дата мероприятия: 17 июня 2026, 15:00–19:15. Подготовлено для рецензирования экспертом В.В. Кашталапом. Слайдовая основа Части 2 и кейсов — дека Конкор® АМ v2.0 (context/slide-library/).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