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2ad1d3572a6e6aad6c1a6302709a809d4f3aeb"/>
    <w:p>
      <w:pPr>
        <w:pStyle w:val="Heading1"/>
      </w:pPr>
      <w:r>
        <w:t xml:space="preserve">Клинический кейс 3 — Конкор АМ 10/10 (почечная безопасность и приверженность)</w:t>
      </w:r>
    </w:p>
    <w:p>
      <w:pPr>
        <w:pStyle w:val="FirstParagraph"/>
      </w:pPr>
      <w:r>
        <w:rPr>
          <w:bCs/>
          <w:b/>
        </w:rPr>
        <w:t xml:space="preserve">Препарат:</w:t>
      </w:r>
      <w:r>
        <w:t xml:space="preserve"> </w:t>
      </w:r>
      <w:r>
        <w:t xml:space="preserve">Конкор АМ 10/10.</w:t>
      </w:r>
      <w:r>
        <w:t xml:space="preserve"> </w:t>
      </w:r>
      <w:r>
        <w:rPr>
          <w:bCs/>
          <w:b/>
        </w:rPr>
        <w:t xml:space="preserve">Маркетинговая задача:</w:t>
      </w:r>
      <w:r>
        <w:t xml:space="preserve"> </w:t>
      </w:r>
      <w:r>
        <w:t xml:space="preserve">позиционирование Конкор АМ у пациентки с длительной АГ и стабильной стенокардией на фоне умеренной ХБП — оптимизация дозы на свободных компонентах → перевод на Конкор АМ 10/10; акцент на безопасности бисопролола при нарушении функции почек (сбалансированный двойной путь выведения) и на приверженности; РААС-блокатор сохраняется.</w:t>
      </w:r>
    </w:p>
    <w:p>
      <w:pPr>
        <w:pStyle w:val="BlockText"/>
      </w:pPr>
      <w:r>
        <w:t xml:space="preserve">Версия 2.0 — мажорная пересборка от v1.2: РААС-блокатор сменён на валсартан 160 мг (периндоприл 8 мг превышал дозу по ОХЛП при СКФ 36); рамка нерегулярности пересобрана как амло-специфичная (не «вся терапия»); цифры Шагов 1/2 привязаны к реалистичным механизмам (адгерентность амло + биsо-титрация → FDC-консолидация); добавлена интенсификация липидоснижающей терапии (атор + эзет) с корректировкой ЛНП через Фридевальд.</w:t>
      </w:r>
    </w:p>
    <w:p>
      <w:r>
        <w:pict>
          <v:rect style="width:0;height:1.5pt" o:hralign="center" o:hrstd="t" o:hr="t"/>
        </w:pict>
      </w:r>
    </w:p>
    <w:bookmarkStart w:id="20" w:name="слайд-1-титул"/>
    <w:p>
      <w:pPr>
        <w:pStyle w:val="Heading2"/>
      </w:pPr>
      <w:r>
        <w:t xml:space="preserve">Слайд 1 — Титул</w:t>
      </w:r>
    </w:p>
    <w:p>
      <w:pPr>
        <w:pStyle w:val="FirstParagraph"/>
      </w:pPr>
      <w:r>
        <w:rPr>
          <w:bCs/>
          <w:b/>
        </w:rPr>
        <w:t xml:space="preserve">Пациентка К., женщина, 63 года.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-анамнез"/>
    <w:p>
      <w:pPr>
        <w:pStyle w:val="Heading2"/>
      </w:pPr>
      <w:r>
        <w:t xml:space="preserve">Слайд 2 — Анамнез</w:t>
      </w:r>
    </w:p>
    <w:p>
      <w:pPr>
        <w:pStyle w:val="FirstParagraph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Давящие боли за грудиной при ходьбе на 200–300 м по ровной местности и подъёме на один пролёт лестницы, длительностью 3–5 мин, купируются прекращением нагрузки, короткодействующими нитратами. Снижение толерантности к нагрузке (привычная активность ограничена). Утомляемость, общая слабость.</w:t>
      </w:r>
    </w:p>
    <w:p>
      <w:pPr>
        <w:pStyle w:val="BodyText"/>
      </w:pPr>
      <w:r>
        <w:rPr>
          <w:bCs/>
          <w:b/>
        </w:rPr>
        <w:t xml:space="preserve">АНАМНЕЗ ЗАБОЛЕВАНИЯ:</w:t>
      </w:r>
      <w:r>
        <w:t xml:space="preserve"> </w:t>
      </w:r>
      <w:r>
        <w:t xml:space="preserve">АГ более 10 лет, терапию принимала нерегулярно, привычные значения 150–160/95–100 мм рт.ст., целевых уровней не достигала. Эпизодически — повышения до 170/100 из-за пропусков амлодипина. Ангинозные боли около 1,5 лет. Хроническая болезнь почек выявлена 2 года назад при обследовании по поводу АГ; течение стабильное, иной причины, кроме гипертонической болезни, не установлено.</w:t>
      </w:r>
    </w:p>
    <w:p>
      <w:pPr>
        <w:pStyle w:val="BodyText"/>
      </w:pPr>
      <w:r>
        <w:rPr>
          <w:bCs/>
          <w:b/>
        </w:rPr>
        <w:t xml:space="preserve">ТЕКУЩАЯ ТЕРАПИЯ:</w:t>
      </w:r>
      <w:r>
        <w:t xml:space="preserve"> </w:t>
      </w:r>
      <w:r>
        <w:t xml:space="preserve">- амлодипин 10 мг вечером (убеждена, что вечерний приём предотвращает отёки) —</w:t>
      </w:r>
      <w:r>
        <w:t xml:space="preserve"> </w:t>
      </w:r>
      <w:r>
        <w:rPr>
          <w:bCs/>
          <w:b/>
        </w:rPr>
        <w:t xml:space="preserve">самые частые пропуски, в среднем 2–3 раза в неделю</w:t>
      </w:r>
      <w:r>
        <w:t xml:space="preserve">;</w:t>
      </w:r>
      <w:r>
        <w:t xml:space="preserve"> </w:t>
      </w:r>
      <w:r>
        <w:t xml:space="preserve">- бисопролол 5 мг утром — принимает регулярно;</w:t>
      </w:r>
      <w:r>
        <w:t xml:space="preserve"> </w:t>
      </w:r>
      <w:r>
        <w:t xml:space="preserve">- валсартан 160 мг утром — принимает регулярно;</w:t>
      </w:r>
      <w:r>
        <w:t xml:space="preserve"> </w:t>
      </w:r>
      <w:r>
        <w:t xml:space="preserve">- аторвастатин 40 мг — регулярно;</w:t>
      </w:r>
      <w:r>
        <w:t xml:space="preserve"> </w:t>
      </w:r>
      <w:r>
        <w:t xml:space="preserve">- АСК 75 мг — регулярно.</w:t>
      </w:r>
    </w:p>
    <w:p>
      <w:pPr>
        <w:pStyle w:val="BodyText"/>
      </w:pPr>
      <w:r>
        <w:rPr>
          <w:bCs/>
          <w:b/>
        </w:rPr>
        <w:t xml:space="preserve">АНАМНЕЗ ЖИЗНИ:</w:t>
      </w:r>
      <w:r>
        <w:t xml:space="preserve"> </w:t>
      </w:r>
      <w:r>
        <w:t xml:space="preserve">рост 165 см, вес 62 кг (ИМТ 22,8 — нормальная масса тела). Не курит, алкоголь не употребляет. Образ жизни малоподвижный.</w:t>
      </w:r>
    </w:p>
    <w:p>
      <w:pPr>
        <w:pStyle w:val="BodyText"/>
      </w:pPr>
      <w:r>
        <w:rPr>
          <w:bCs/>
          <w:b/>
        </w:rPr>
        <w:t xml:space="preserve">ФАКТОРЫ РИСКА:</w:t>
      </w:r>
      <w:r>
        <w:t xml:space="preserve"> </w:t>
      </w:r>
      <w:r>
        <w:t xml:space="preserve">длительная неконтролируемая АГ; хроническая болезнь почек; возраст; дислипидемия (на терапии). Сахарного диабета, перенесённого инфаркта миокарда и сердечной недостаточности нет.</w:t>
      </w:r>
    </w:p>
    <w:p>
      <w:pPr>
        <w:pStyle w:val="BodyText"/>
      </w:pPr>
      <w:r>
        <w:rPr>
          <w:bCs/>
          <w:b/>
        </w:rPr>
        <w:t xml:space="preserve">НАСЛЕДСТВЕННОСТЬ:</w:t>
      </w:r>
      <w:r>
        <w:t xml:space="preserve"> </w:t>
      </w:r>
      <w:r>
        <w:t xml:space="preserve">отягощена по АГ (мать).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-обследование"/>
    <w:p>
      <w:pPr>
        <w:pStyle w:val="Heading2"/>
      </w:pPr>
      <w:r>
        <w:t xml:space="preserve">Слайд 3 — Обследование</w:t>
      </w:r>
    </w:p>
    <w:p>
      <w:pPr>
        <w:pStyle w:val="FirstParagraph"/>
      </w:pPr>
      <w:r>
        <w:rPr>
          <w:bCs/>
          <w:b/>
        </w:rPr>
        <w:t xml:space="preserve">ФИЗИКАЛЬНОЕ ОБСЛЕДОВАНИЕ:</w:t>
      </w:r>
      <w:r>
        <w:t xml:space="preserve"> </w:t>
      </w:r>
      <w:r>
        <w:t xml:space="preserve">АД 150/90 мм рт.ст. на приёме (СМАД: стойкая систоло-диастолическая АГ, недостаточное ночное снижение — non-dipper, типично для ХБП). ЧСС 88 уд/мин, пульс ритмичный. Тоны сердца ясные, акцент II тона над аортой. Дыхание везикулярное, хрипов нет. Периферических отёков нет.</w:t>
      </w:r>
    </w:p>
    <w:p>
      <w:pPr>
        <w:pStyle w:val="BodyText"/>
      </w:pPr>
      <w:r>
        <w:rPr>
          <w:bCs/>
          <w:b/>
        </w:rPr>
        <w:t xml:space="preserve">ИНСТРУМЕНТАЛЬНЫЕ ИССЛЕДОВАНИЯ: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ЭКГ покоя:</w:t>
      </w:r>
      <w:r>
        <w:t xml:space="preserve"> </w:t>
      </w:r>
      <w:r>
        <w:t xml:space="preserve">синусовый ритм, признаки ГЛЖ (индекс Соколова–Лайона 38 мм), без острых ишемических изменений.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ЭхоКГ покоя:</w:t>
      </w:r>
      <w:r>
        <w:t xml:space="preserve"> </w:t>
      </w:r>
      <w:r>
        <w:t xml:space="preserve">ФВ ЛЖ 62% (Simpson, сохранена), ИММЛЖ 118 г/м² (норма для женщин ≤95 → ГЛЖ), относительная толщина стенок 0,48 → концентрическая гипертрофия ЛЖ; левое предсердие не расширено.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Стресс-ЭхоКГ с физической нагрузкой:</w:t>
      </w:r>
      <w:r>
        <w:t xml:space="preserve"> </w:t>
      </w:r>
      <w:r>
        <w:t xml:space="preserve">положительная — преходящая гипокинезия нижне-боковых сегментов ЛЖ при субмаксимальной нагрузке; объём ишемии умеренный (не высокого риска).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Решение консилиума:</w:t>
      </w:r>
      <w:r>
        <w:t xml:space="preserve"> </w:t>
      </w:r>
      <w:r>
        <w:t xml:space="preserve">с учётом умеренного объёма ишемии и ХБП С3b (риск контраст-индуцированного повреждения почек) — оптимальная медикаментозная терапия; инвазивная стратегия резервируется на случай рефрактерности.</w:t>
      </w:r>
    </w:p>
    <w:p>
      <w:pPr>
        <w:pStyle w:val="BodyText"/>
      </w:pPr>
      <w:r>
        <w:rPr>
          <w:bCs/>
          <w:b/>
        </w:rPr>
        <w:t xml:space="preserve">ЛАБОРАТОРНЫЕ ИССЛЕДОВАНИЯ:</w:t>
      </w:r>
      <w:r>
        <w:t xml:space="preserve"> </w:t>
      </w:r>
      <w:r>
        <w:t xml:space="preserve">СКФ CKD-EPI 36 мл/мин/1,73 м² → ХБП С3b; альбумин/креатинин мочи 80 мг/г → А2. Калий 4,6 ммоль/л. Глюкоза натощак 5,4 ммоль/л; HbA1c 5,5%. ОХС 3,8; ЛПНП 1,86; ЛПВП 1,3; ТГ 1,4 ммоль/л. NT-proBNP 100 пг/мл. ТТГ в норме.</w:t>
      </w:r>
    </w:p>
    <w:p>
      <w:pPr>
        <w:pStyle w:val="BodyText"/>
      </w:pPr>
      <w:r>
        <w:rPr>
          <w:bCs/>
          <w:b/>
        </w:rPr>
        <w:t xml:space="preserve">ДИАГНОЗ:</w:t>
      </w:r>
      <w:r>
        <w:t xml:space="preserve"> </w:t>
      </w:r>
      <w:r>
        <w:t xml:space="preserve">&gt; ИБС: стабильная стенокардия напряжения ФК III.</w:t>
      </w:r>
      <w:r>
        <w:t xml:space="preserve"> </w:t>
      </w:r>
      <w:r>
        <w:t xml:space="preserve">&gt; Гипертоническая болезнь III стадии. Целевой уровень АД не достигнут. Риск 4 (очень высокий). Концентрическая гипертрофия левого желудочка.</w:t>
      </w:r>
      <w:r>
        <w:t xml:space="preserve"> </w:t>
      </w:r>
      <w:r>
        <w:t xml:space="preserve">&gt; ХБП С3bА2.</w:t>
      </w:r>
      <w:r>
        <w:t xml:space="preserve"> </w:t>
      </w:r>
      <w:r>
        <w:t xml:space="preserve">&gt; Дислипидемия, целевой уровень ХС-ЛНП не достигнут на терапии.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4-план-лечения"/>
    <w:p>
      <w:pPr>
        <w:pStyle w:val="Heading2"/>
      </w:pPr>
      <w:r>
        <w:t xml:space="preserve">Слайд 4 — План лечения</w:t>
      </w:r>
    </w:p>
    <w:p>
      <w:pPr>
        <w:pStyle w:val="FirstParagraph"/>
      </w:pPr>
      <w:r>
        <w:rPr>
          <w:bCs/>
          <w:b/>
        </w:rPr>
        <w:t xml:space="preserve">ДОРОЖНАЯ КАРТА</w:t>
      </w:r>
      <w:r>
        <w:t xml:space="preserve"> </w:t>
      </w:r>
      <w:r>
        <w:t xml:space="preserve">(обсуждена и согласована с пациенткой): поэтапный план — (1) сначала подбор эффективной дозы на свободных компонентах с контролем переносимости; (2) после подтверждения эффективности подобранных доз — перевод на фиксированную комбинацию для устранения нерегулярного приёма.</w:t>
      </w:r>
    </w:p>
    <w:p>
      <w:pPr>
        <w:pStyle w:val="BodyText"/>
      </w:pPr>
      <w:r>
        <w:rPr>
          <w:bCs/>
          <w:b/>
        </w:rPr>
        <w:t xml:space="preserve">Шаг 1.</w:t>
      </w:r>
      <w:r>
        <w:t xml:space="preserve"> </w:t>
      </w:r>
      <w:r>
        <w:t xml:space="preserve">На фоне сохранения валсартана 160 мг и АСК 75 мг проведена работа по приверженности; для контроля стенокардии и ЧСС бисопролол заменён на оригинальный Конкор и титрован с 5 до 10 мг/сут; амлодипин 10 мг сохранён, перенесён на утренние часы. Аторвастатин 40 мг заменён на аторвастатин 40 / эзетимиб 10 мг для достижения целевых значений ХС-ЛНП.</w:t>
      </w:r>
      <w:r>
        <w:t xml:space="preserve"> </w:t>
      </w:r>
      <w:r>
        <w:rPr>
          <w:iCs/>
          <w:i/>
        </w:rPr>
        <w:t xml:space="preserve">Через 7 дней:</w:t>
      </w:r>
      <w:r>
        <w:t xml:space="preserve"> </w:t>
      </w:r>
      <w:r>
        <w:t xml:space="preserve">АД 134/82 мм рт.ст. — эффект перехода на Конкор 10 мг и регулярного приёма амлодипина; ЧСС 70 уд/мин; стенокардия в пределах ФК I; частота приступов снизилась; переносимость хорошая, отёков нет.</w:t>
      </w:r>
    </w:p>
    <w:p>
      <w:pPr>
        <w:pStyle w:val="BodyText"/>
      </w:pPr>
      <w:r>
        <w:rPr>
          <w:bCs/>
          <w:b/>
        </w:rPr>
        <w:t xml:space="preserve">Шаг 2.</w:t>
      </w:r>
      <w:r>
        <w:t xml:space="preserve"> </w:t>
      </w:r>
      <w:r>
        <w:t xml:space="preserve">После подтверждения эффективности и переносимости подобранных доз — перевод на фиксированную комбинацию</w:t>
      </w:r>
      <w:r>
        <w:t xml:space="preserve"> </w:t>
      </w:r>
      <w:r>
        <w:rPr>
          <w:bCs/>
          <w:b/>
        </w:rPr>
        <w:t xml:space="preserve">Конкор АМ 10/10 мг утром</w:t>
      </w:r>
      <w:r>
        <w:t xml:space="preserve"> </w:t>
      </w:r>
      <w:r>
        <w:t xml:space="preserve">(в тех же дозах) для устранения нерегулярного приёма.</w:t>
      </w:r>
      <w:r>
        <w:t xml:space="preserve"> </w:t>
      </w:r>
      <w:r>
        <w:rPr>
          <w:iCs/>
          <w:i/>
        </w:rPr>
        <w:t xml:space="preserve">Через 2 недели:</w:t>
      </w:r>
      <w:r>
        <w:t xml:space="preserve"> </w:t>
      </w:r>
      <w:r>
        <w:t xml:space="preserve">АД 128/76 мм рт.ст.; ЧСС 66 уд/мин; приступов стенокардии в наблюдаемом периоде не зарегистрировано; СКФ без динамики (36 мл/мин/1,73 м²).</w:t>
      </w:r>
    </w:p>
    <w:p>
      <w:pPr>
        <w:pStyle w:val="BodyText"/>
      </w:pPr>
      <w:r>
        <w:rPr>
          <w:bCs/>
          <w:b/>
        </w:rPr>
        <w:t xml:space="preserve">РЕЗУЛЬТАТ ТЕРАПИИ:</w:t>
      </w:r>
      <w:r>
        <w:t xml:space="preserve"> </w:t>
      </w:r>
      <w:r>
        <w:t xml:space="preserve">- Целевой уровень АД для ХБП достигнут (≤130/&lt;80 мм рт.ст.; 128/76).</w:t>
      </w:r>
      <w:r>
        <w:t xml:space="preserve"> </w:t>
      </w:r>
      <w:r>
        <w:t xml:space="preserve">- Приступов стенокардии в наблюдаемом периоде не зарегистрировано.</w:t>
      </w:r>
      <w:r>
        <w:t xml:space="preserve"> </w:t>
      </w:r>
      <w:r>
        <w:t xml:space="preserve">- ЧСС в контролируемом диапазоне (66 уд/мин).</w:t>
      </w:r>
      <w:r>
        <w:t xml:space="preserve"> </w:t>
      </w:r>
      <w:r>
        <w:t xml:space="preserve">- Функция почек без ухудшения (СКФ стабильна).</w:t>
      </w:r>
    </w:p>
    <w:p>
      <w:pPr>
        <w:pStyle w:val="BodyText"/>
      </w:pPr>
      <w:r>
        <w:rPr>
          <w:bCs/>
          <w:b/>
        </w:rPr>
        <w:t xml:space="preserve">ПОЧЕМУ КОНКОР АМ 10/10: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Оригинальный бисопролол — Конкор — предсказуемость эффекта в сравнении с дженериками.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Почечная безопасность — ядро выбора.</w:t>
      </w:r>
      <w:r>
        <w:t xml:space="preserve"> </w:t>
      </w:r>
      <w:r>
        <w:t xml:space="preserve">Бисопролол имеет сбалансированный двойной путь выведения (~50% почечная экскреция / ~50% печёночный метаболизм), что обеспечивает предсказуемую фармакокинетику и отсутствие клинически значимой кумуляции при нарушении функции почек; период полувыведения при почечной недостаточности возрастает лишь приблизительно вдвое. Коррекция дозы не требуется при лёгкой и умеренной ХБП; при ХБП С3b доза 10 мг/сут допустима (ограничение «не выше 10 мг» относится только к тяжёлой и терминальной ХБП — КК &lt;20 мл/мин — по ОХЛП Конкор). Амлодипин выводится преимущественно путём печёночного метаболизма и также не требует коррекции дозы при ХБП. Таким образом, Конкор АМ — рациональный выбор фиксированной комбинации у пациента с умеренной ХБП.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Приверженность.</w:t>
      </w:r>
      <w:r>
        <w:t xml:space="preserve"> </w:t>
      </w:r>
      <w:r>
        <w:t xml:space="preserve">Единая таблетка один раз в сутки устраняет нерегулярный приём — ключевую причину недостижения целевых показателей у пациентки. Вечерний приём амлодипина был основан на заблуждении: при периоде полувыведения 35–50 ч концентрация препарата стабильна, и время приёма на риск отёков не влияет.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Контроль без смены молекул.</w:t>
      </w:r>
      <w:r>
        <w:t xml:space="preserve"> </w:t>
      </w:r>
      <w:r>
        <w:t xml:space="preserve">Перевод выполнен в уже подобранных дозах (бисопролол 10 + амлодипин 10), что сохранило достигнутый эффект и позволило реализовать полный потенциал дозы за счёт регулярного приёма. Устранение проблем с пропуском препарата привело к ещё более эффективному контролю АД и приступов стенокардии, что согласуется с данными когортных исследований:</w:t>
      </w:r>
    </w:p>
    <w:p>
      <w:pPr>
        <w:numPr>
          <w:ilvl w:val="1"/>
          <w:numId w:val="1002"/>
        </w:numPr>
        <w:pStyle w:val="Compact"/>
      </w:pPr>
      <w:r>
        <w:t xml:space="preserve">В исследовании</w:t>
      </w:r>
      <w:r>
        <w:t xml:space="preserve"> </w:t>
      </w:r>
      <w:r>
        <w:rPr>
          <w:bCs/>
          <w:b/>
        </w:rPr>
        <w:t xml:space="preserve">Скибицкого В.В. и соавт.</w:t>
      </w:r>
      <w:r>
        <w:t xml:space="preserve"> </w:t>
      </w:r>
      <w:r>
        <w:t xml:space="preserve">(Системные гипертензии. 2015;1:26–31) у пациентов с АГ + ИБС + метаболическим синдромом на Конкор АМ частота приступов стенокардии и использования нитратов была ниже, чем на свободной комбинации.</w:t>
      </w:r>
    </w:p>
    <w:p>
      <w:pPr>
        <w:numPr>
          <w:ilvl w:val="1"/>
          <w:numId w:val="1002"/>
        </w:numPr>
        <w:pStyle w:val="Compact"/>
      </w:pPr>
      <w:r>
        <w:t xml:space="preserve">В исследовании</w:t>
      </w:r>
      <w:r>
        <w:t xml:space="preserve"> </w:t>
      </w:r>
      <w:r>
        <w:rPr>
          <w:bCs/>
          <w:b/>
        </w:rPr>
        <w:t xml:space="preserve">Czarnecka D et al.</w:t>
      </w:r>
      <w:r>
        <w:t xml:space="preserve"> </w:t>
      </w:r>
      <w:r>
        <w:t xml:space="preserve">(Curr Med Res Opin. 2015;31(5):875–81) у 13% пациентов FDC обеспечивала более эффективное действие, чем эквивалентная свободная комбинация (n=4226).</w:t>
      </w:r>
    </w:p>
    <w:p>
      <w:r>
        <w:pict>
          <v:rect style="width:0;height:1.5pt" o:hralign="center" o:hrstd="t" o:hr="t"/>
        </w:pict>
      </w:r>
    </w:p>
    <w:bookmarkEnd w:id="23"/>
    <w:bookmarkStart w:id="2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3"/>
        </w:numPr>
        <w:pStyle w:val="Compact"/>
      </w:pPr>
      <w:r>
        <w:t xml:space="preserve">КР МЗ РФ 2024. Артериальная гипертензия у взрослых.</w:t>
      </w:r>
    </w:p>
    <w:p>
      <w:pPr>
        <w:numPr>
          <w:ilvl w:val="0"/>
          <w:numId w:val="1003"/>
        </w:numPr>
        <w:pStyle w:val="Compact"/>
      </w:pPr>
      <w:r>
        <w:t xml:space="preserve">КР МЗ РФ 2024. Стабильная ишемическая болезнь сердца.</w:t>
      </w:r>
    </w:p>
    <w:p>
      <w:pPr>
        <w:numPr>
          <w:ilvl w:val="0"/>
          <w:numId w:val="1003"/>
        </w:numPr>
        <w:pStyle w:val="Compact"/>
      </w:pPr>
      <w:r>
        <w:t xml:space="preserve">КР МЗ РФ 2023. Нарушения липидного обмена.</w:t>
      </w:r>
    </w:p>
    <w:p>
      <w:pPr>
        <w:numPr>
          <w:ilvl w:val="0"/>
          <w:numId w:val="1003"/>
        </w:numPr>
        <w:pStyle w:val="Compact"/>
      </w:pPr>
      <w:r>
        <w:t xml:space="preserve">ОХЛП Конкор АМ (ЛП-№012650-РГ-RU от 28.11.2025); ОХЛП Конкор моно (ЛП-№003852-РГ-RU от 30.11.2023).</w:t>
      </w:r>
    </w:p>
    <w:p>
      <w:pPr>
        <w:numPr>
          <w:ilvl w:val="0"/>
          <w:numId w:val="1003"/>
        </w:numPr>
        <w:pStyle w:val="Compact"/>
      </w:pPr>
      <w:r>
        <w:t xml:space="preserve">Скибицкий ВВ и соавт. Системные гипертензии. 2015;1:26–31.</w:t>
      </w:r>
    </w:p>
    <w:p>
      <w:pPr>
        <w:numPr>
          <w:ilvl w:val="0"/>
          <w:numId w:val="1003"/>
        </w:numPr>
        <w:pStyle w:val="Compact"/>
      </w:pPr>
      <w:r>
        <w:t xml:space="preserve">Czarnecka D et al. Curr Med Res Opin. 2015;31(5):875–81.</w:t>
      </w:r>
    </w:p>
    <w:p>
      <w:pPr>
        <w:numPr>
          <w:ilvl w:val="0"/>
          <w:numId w:val="1003"/>
        </w:numPr>
        <w:pStyle w:val="Compact"/>
      </w:pPr>
      <w:r>
        <w:t xml:space="preserve">Backing-слайды: дека</w:t>
      </w:r>
      <w:r>
        <w:t xml:space="preserve"> </w:t>
      </w:r>
      <w:r>
        <w:rPr>
          <w:rStyle w:val="VerbatimChar"/>
        </w:rPr>
        <w:t xml:space="preserve">context/slide-library/2026-05-14_konkor-am_fdc-bisop-amlo_v2.0.pptx</w:t>
      </w:r>
      <w:r>
        <w:t xml:space="preserve">, слайды 48 (Скибицкий), 66–68, 74 (Czarnecka).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2026-06-09T07:36:54Z</dcterms:created>
  <dcterms:modified xsi:type="dcterms:W3CDTF">2026-06-09T07:36:54Z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