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4F3F" w14:textId="6C1FE496" w:rsidR="008B7014" w:rsidRPr="008B7014" w:rsidRDefault="008B7014" w:rsidP="00FC02E2">
      <w:pPr>
        <w:spacing w:line="360" w:lineRule="auto"/>
        <w:rPr>
          <w:b/>
          <w:bCs/>
        </w:rPr>
      </w:pPr>
      <w:r w:rsidRPr="008B7014">
        <w:rPr>
          <w:b/>
          <w:bCs/>
        </w:rPr>
        <w:t>NEPAL</w:t>
      </w:r>
    </w:p>
    <w:p w14:paraId="358982D0" w14:textId="50684FA5" w:rsidR="00273E30" w:rsidRDefault="0056009E" w:rsidP="00FC02E2">
      <w:pPr>
        <w:spacing w:line="360" w:lineRule="auto"/>
      </w:pPr>
      <w:r>
        <w:t>Dry matter generation</w:t>
      </w:r>
    </w:p>
    <w:p w14:paraId="6ACE2FEF" w14:textId="57A78363" w:rsidR="008B7014" w:rsidRDefault="008B7014" w:rsidP="00FC02E2">
      <w:pPr>
        <w:spacing w:line="360" w:lineRule="auto"/>
      </w:pPr>
      <w:r>
        <w:t xml:space="preserve">Total dry matter generation during 2016 – 2017  in Gg </w:t>
      </w:r>
      <w:sdt>
        <w:sdtPr>
          <w:rPr>
            <w:color w:val="000000"/>
          </w:rPr>
          <w:tag w:val="MENDELEY_CITATION_v3_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"/>
          <w:id w:val="-856188931"/>
          <w:placeholder>
            <w:docPart w:val="DefaultPlaceholder_-1854013440"/>
          </w:placeholder>
        </w:sdtPr>
        <w:sdtContent>
          <w:r w:rsidRPr="008B7014">
            <w:rPr>
              <w:color w:val="000000"/>
            </w:rPr>
            <w:t>(Das et al., 2020)</w:t>
          </w:r>
        </w:sdtContent>
      </w:sdt>
      <w:r>
        <w:t xml:space="preserve"> </w:t>
      </w:r>
    </w:p>
    <w:tbl>
      <w:tblPr>
        <w:tblStyle w:val="TableGrid"/>
        <w:tblW w:w="0" w:type="auto"/>
        <w:tblInd w:w="27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927"/>
        <w:gridCol w:w="926"/>
        <w:gridCol w:w="1296"/>
        <w:gridCol w:w="914"/>
      </w:tblGrid>
      <w:tr w:rsidR="008B7014" w14:paraId="63E20DFA" w14:textId="77777777" w:rsidTr="008B7014">
        <w:tc>
          <w:tcPr>
            <w:tcW w:w="917" w:type="dxa"/>
            <w:tcBorders>
              <w:top w:val="single" w:sz="4" w:space="0" w:color="auto"/>
              <w:bottom w:val="single" w:sz="4" w:space="0" w:color="auto"/>
            </w:tcBorders>
          </w:tcPr>
          <w:p w14:paraId="2739D045" w14:textId="2B26F38F" w:rsidR="008B7014" w:rsidRPr="008B7014" w:rsidRDefault="008B7014" w:rsidP="00FC02E2">
            <w:pPr>
              <w:spacing w:line="360" w:lineRule="auto"/>
              <w:rPr>
                <w:b/>
                <w:bCs/>
              </w:rPr>
            </w:pPr>
            <w:r w:rsidRPr="008B7014">
              <w:rPr>
                <w:b/>
                <w:bCs/>
              </w:rPr>
              <w:t>Rice</w:t>
            </w:r>
          </w:p>
        </w:tc>
        <w:tc>
          <w:tcPr>
            <w:tcW w:w="927" w:type="dxa"/>
            <w:tcBorders>
              <w:top w:val="single" w:sz="4" w:space="0" w:color="auto"/>
              <w:bottom w:val="single" w:sz="4" w:space="0" w:color="auto"/>
            </w:tcBorders>
          </w:tcPr>
          <w:p w14:paraId="6FF7AB2C" w14:textId="6C63A98A" w:rsidR="008B7014" w:rsidRPr="008B7014" w:rsidRDefault="008B7014" w:rsidP="00FC02E2">
            <w:pPr>
              <w:spacing w:line="360" w:lineRule="auto"/>
              <w:rPr>
                <w:b/>
                <w:bCs/>
              </w:rPr>
            </w:pPr>
            <w:r w:rsidRPr="008B7014">
              <w:rPr>
                <w:b/>
                <w:bCs/>
              </w:rPr>
              <w:t>Maize</w:t>
            </w:r>
          </w:p>
        </w:tc>
        <w:tc>
          <w:tcPr>
            <w:tcW w:w="926" w:type="dxa"/>
            <w:tcBorders>
              <w:top w:val="single" w:sz="4" w:space="0" w:color="auto"/>
              <w:bottom w:val="single" w:sz="4" w:space="0" w:color="auto"/>
            </w:tcBorders>
          </w:tcPr>
          <w:p w14:paraId="0B6EBB76" w14:textId="2B8BD983" w:rsidR="008B7014" w:rsidRPr="008B7014" w:rsidRDefault="008B7014" w:rsidP="00FC02E2">
            <w:pPr>
              <w:spacing w:line="360" w:lineRule="auto"/>
              <w:rPr>
                <w:b/>
                <w:bCs/>
              </w:rPr>
            </w:pPr>
            <w:r w:rsidRPr="008B7014">
              <w:rPr>
                <w:b/>
                <w:bCs/>
              </w:rPr>
              <w:t>Wheat</w:t>
            </w:r>
          </w:p>
        </w:tc>
        <w:tc>
          <w:tcPr>
            <w:tcW w:w="1216" w:type="dxa"/>
            <w:tcBorders>
              <w:top w:val="single" w:sz="4" w:space="0" w:color="auto"/>
              <w:bottom w:val="single" w:sz="4" w:space="0" w:color="auto"/>
            </w:tcBorders>
          </w:tcPr>
          <w:p w14:paraId="321A56BD" w14:textId="2EF1FDFE" w:rsidR="008B7014" w:rsidRPr="008B7014" w:rsidRDefault="008B7014" w:rsidP="00FC02E2">
            <w:pPr>
              <w:spacing w:line="360" w:lineRule="auto"/>
              <w:rPr>
                <w:b/>
                <w:bCs/>
              </w:rPr>
            </w:pPr>
            <w:r w:rsidRPr="008B7014">
              <w:rPr>
                <w:b/>
                <w:bCs/>
              </w:rPr>
              <w:t>Sugarcane</w:t>
            </w:r>
          </w:p>
        </w:tc>
        <w:tc>
          <w:tcPr>
            <w:tcW w:w="914" w:type="dxa"/>
            <w:tcBorders>
              <w:top w:val="single" w:sz="4" w:space="0" w:color="auto"/>
              <w:bottom w:val="single" w:sz="4" w:space="0" w:color="auto"/>
            </w:tcBorders>
          </w:tcPr>
          <w:p w14:paraId="377E6554" w14:textId="64262F7C" w:rsidR="008B7014" w:rsidRPr="008B7014" w:rsidRDefault="008B7014" w:rsidP="00FC02E2">
            <w:pPr>
              <w:spacing w:line="360" w:lineRule="auto"/>
              <w:rPr>
                <w:b/>
                <w:bCs/>
              </w:rPr>
            </w:pPr>
            <w:r w:rsidRPr="008B7014">
              <w:rPr>
                <w:b/>
                <w:bCs/>
              </w:rPr>
              <w:t xml:space="preserve">Jute </w:t>
            </w:r>
          </w:p>
        </w:tc>
      </w:tr>
      <w:tr w:rsidR="008B7014" w14:paraId="76D400C8" w14:textId="77777777" w:rsidTr="008B7014">
        <w:tc>
          <w:tcPr>
            <w:tcW w:w="917" w:type="dxa"/>
            <w:tcBorders>
              <w:top w:val="single" w:sz="4" w:space="0" w:color="auto"/>
            </w:tcBorders>
          </w:tcPr>
          <w:p w14:paraId="723F1E7D" w14:textId="2D9E3829" w:rsidR="008B7014" w:rsidRDefault="008B7014" w:rsidP="00FC02E2">
            <w:pPr>
              <w:spacing w:line="360" w:lineRule="auto"/>
            </w:pPr>
            <w:r>
              <w:t>6670</w:t>
            </w:r>
          </w:p>
        </w:tc>
        <w:tc>
          <w:tcPr>
            <w:tcW w:w="927" w:type="dxa"/>
            <w:tcBorders>
              <w:top w:val="single" w:sz="4" w:space="0" w:color="auto"/>
            </w:tcBorders>
          </w:tcPr>
          <w:p w14:paraId="7A81861C" w14:textId="57157B81" w:rsidR="008B7014" w:rsidRDefault="008B7014" w:rsidP="00FC02E2">
            <w:pPr>
              <w:spacing w:line="360" w:lineRule="auto"/>
            </w:pPr>
            <w:r>
              <w:t>1840</w:t>
            </w:r>
          </w:p>
        </w:tc>
        <w:tc>
          <w:tcPr>
            <w:tcW w:w="926" w:type="dxa"/>
            <w:tcBorders>
              <w:top w:val="single" w:sz="4" w:space="0" w:color="auto"/>
            </w:tcBorders>
          </w:tcPr>
          <w:p w14:paraId="5602E52B" w14:textId="3A564846" w:rsidR="008B7014" w:rsidRDefault="008B7014" w:rsidP="00FC02E2">
            <w:pPr>
              <w:spacing w:line="360" w:lineRule="auto"/>
            </w:pPr>
            <w:r>
              <w:t>2340</w:t>
            </w:r>
          </w:p>
        </w:tc>
        <w:tc>
          <w:tcPr>
            <w:tcW w:w="1216" w:type="dxa"/>
            <w:tcBorders>
              <w:top w:val="single" w:sz="4" w:space="0" w:color="auto"/>
            </w:tcBorders>
          </w:tcPr>
          <w:p w14:paraId="481E8C58" w14:textId="6BC64EDC" w:rsidR="008B7014" w:rsidRDefault="008B7014" w:rsidP="00FC02E2">
            <w:pPr>
              <w:spacing w:line="360" w:lineRule="auto"/>
            </w:pPr>
            <w:r>
              <w:t>854</w:t>
            </w:r>
          </w:p>
        </w:tc>
        <w:tc>
          <w:tcPr>
            <w:tcW w:w="914" w:type="dxa"/>
            <w:tcBorders>
              <w:top w:val="single" w:sz="4" w:space="0" w:color="auto"/>
            </w:tcBorders>
          </w:tcPr>
          <w:p w14:paraId="56FAF11F" w14:textId="63F179A3" w:rsidR="008B7014" w:rsidRDefault="008B7014" w:rsidP="00FC02E2">
            <w:pPr>
              <w:spacing w:line="360" w:lineRule="auto"/>
            </w:pPr>
            <w:r>
              <w:t>11.3</w:t>
            </w:r>
          </w:p>
        </w:tc>
      </w:tr>
    </w:tbl>
    <w:p w14:paraId="100555DE" w14:textId="77777777" w:rsidR="00273E30" w:rsidRDefault="00273E30" w:rsidP="00FC02E2">
      <w:pPr>
        <w:spacing w:line="360" w:lineRule="auto"/>
      </w:pPr>
    </w:p>
    <w:p w14:paraId="7EEE99E5" w14:textId="776C47A4" w:rsidR="000C2D4B" w:rsidRDefault="000C2D4B" w:rsidP="00FC02E2">
      <w:pPr>
        <w:spacing w:line="360" w:lineRule="auto"/>
      </w:pPr>
      <w:r>
        <w:t>Emissions from crop residue burning in Gg (</w:t>
      </w:r>
      <w:r w:rsidR="00492656">
        <w:t xml:space="preserve">2003-2004 and </w:t>
      </w:r>
      <w:r>
        <w:t>2016-2017)</w:t>
      </w:r>
      <w:r w:rsidR="00273E30">
        <w:t xml:space="preserve"> </w:t>
      </w:r>
      <w:sdt>
        <w:sdtPr>
          <w:rPr>
            <w:color w:val="000000"/>
          </w:rPr>
          <w:tag w:val="MENDELEY_CITATION_v3_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"/>
          <w:id w:val="1481498949"/>
          <w:placeholder>
            <w:docPart w:val="DefaultPlaceholder_-1854013440"/>
          </w:placeholder>
        </w:sdtPr>
        <w:sdtContent>
          <w:r w:rsidR="00273E30" w:rsidRPr="00273E30">
            <w:rPr>
              <w:color w:val="000000"/>
            </w:rPr>
            <w:t>(Das et al., 2020)</w:t>
          </w:r>
        </w:sdtContent>
      </w:sdt>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
        <w:gridCol w:w="821"/>
        <w:gridCol w:w="790"/>
        <w:gridCol w:w="820"/>
        <w:gridCol w:w="811"/>
        <w:gridCol w:w="790"/>
        <w:gridCol w:w="871"/>
        <w:gridCol w:w="786"/>
        <w:gridCol w:w="825"/>
        <w:gridCol w:w="1150"/>
        <w:gridCol w:w="821"/>
      </w:tblGrid>
      <w:tr w:rsidR="000C2D4B" w14:paraId="43F725A1" w14:textId="45666200" w:rsidTr="00492656">
        <w:tc>
          <w:tcPr>
            <w:tcW w:w="875" w:type="dxa"/>
            <w:tcBorders>
              <w:top w:val="single" w:sz="4" w:space="0" w:color="auto"/>
              <w:bottom w:val="single" w:sz="4" w:space="0" w:color="auto"/>
            </w:tcBorders>
          </w:tcPr>
          <w:p w14:paraId="4491F81D" w14:textId="0DC2B796" w:rsidR="000C2D4B" w:rsidRPr="000C2D4B" w:rsidRDefault="000C2D4B" w:rsidP="00FC02E2">
            <w:pPr>
              <w:spacing w:line="360" w:lineRule="auto"/>
              <w:rPr>
                <w:b/>
                <w:bCs/>
              </w:rPr>
            </w:pPr>
            <w:r w:rsidRPr="000C2D4B">
              <w:rPr>
                <w:b/>
                <w:bCs/>
              </w:rPr>
              <w:t>Year</w:t>
            </w:r>
          </w:p>
        </w:tc>
        <w:tc>
          <w:tcPr>
            <w:tcW w:w="821" w:type="dxa"/>
            <w:tcBorders>
              <w:top w:val="single" w:sz="4" w:space="0" w:color="auto"/>
              <w:bottom w:val="single" w:sz="4" w:space="0" w:color="auto"/>
            </w:tcBorders>
          </w:tcPr>
          <w:p w14:paraId="2EE843EF" w14:textId="763FEAF7" w:rsidR="000C2D4B" w:rsidRPr="000C2D4B" w:rsidRDefault="000C2D4B" w:rsidP="00FC02E2">
            <w:pPr>
              <w:spacing w:line="360" w:lineRule="auto"/>
              <w:rPr>
                <w:b/>
                <w:bCs/>
                <w:vertAlign w:val="subscript"/>
              </w:rPr>
            </w:pPr>
            <w:r w:rsidRPr="000C2D4B">
              <w:rPr>
                <w:b/>
                <w:bCs/>
              </w:rPr>
              <w:t>CO</w:t>
            </w:r>
            <w:r w:rsidRPr="000C2D4B">
              <w:rPr>
                <w:b/>
                <w:bCs/>
                <w:vertAlign w:val="subscript"/>
              </w:rPr>
              <w:t>2</w:t>
            </w:r>
          </w:p>
        </w:tc>
        <w:tc>
          <w:tcPr>
            <w:tcW w:w="790" w:type="dxa"/>
            <w:tcBorders>
              <w:top w:val="single" w:sz="4" w:space="0" w:color="auto"/>
              <w:bottom w:val="single" w:sz="4" w:space="0" w:color="auto"/>
            </w:tcBorders>
          </w:tcPr>
          <w:p w14:paraId="1F82E1AC" w14:textId="06B2F418" w:rsidR="000C2D4B" w:rsidRPr="000C2D4B" w:rsidRDefault="000C2D4B" w:rsidP="00FC02E2">
            <w:pPr>
              <w:spacing w:line="360" w:lineRule="auto"/>
              <w:rPr>
                <w:b/>
                <w:bCs/>
              </w:rPr>
            </w:pPr>
            <w:r w:rsidRPr="000C2D4B">
              <w:rPr>
                <w:b/>
                <w:bCs/>
              </w:rPr>
              <w:t>CO</w:t>
            </w:r>
          </w:p>
        </w:tc>
        <w:tc>
          <w:tcPr>
            <w:tcW w:w="820" w:type="dxa"/>
            <w:tcBorders>
              <w:top w:val="single" w:sz="4" w:space="0" w:color="auto"/>
              <w:bottom w:val="single" w:sz="4" w:space="0" w:color="auto"/>
            </w:tcBorders>
          </w:tcPr>
          <w:p w14:paraId="7B183FA6" w14:textId="2EEB428C" w:rsidR="000C2D4B" w:rsidRPr="000C2D4B" w:rsidRDefault="000C2D4B" w:rsidP="00FC02E2">
            <w:pPr>
              <w:spacing w:line="360" w:lineRule="auto"/>
              <w:rPr>
                <w:b/>
                <w:bCs/>
                <w:vertAlign w:val="subscript"/>
              </w:rPr>
            </w:pPr>
            <w:r w:rsidRPr="000C2D4B">
              <w:rPr>
                <w:b/>
                <w:bCs/>
              </w:rPr>
              <w:t>CH</w:t>
            </w:r>
            <w:r w:rsidRPr="000C2D4B">
              <w:rPr>
                <w:b/>
                <w:bCs/>
                <w:vertAlign w:val="subscript"/>
              </w:rPr>
              <w:t>4</w:t>
            </w:r>
          </w:p>
        </w:tc>
        <w:tc>
          <w:tcPr>
            <w:tcW w:w="811" w:type="dxa"/>
            <w:tcBorders>
              <w:top w:val="single" w:sz="4" w:space="0" w:color="auto"/>
              <w:bottom w:val="single" w:sz="4" w:space="0" w:color="auto"/>
            </w:tcBorders>
          </w:tcPr>
          <w:p w14:paraId="6C4EBE09" w14:textId="37397779" w:rsidR="000C2D4B" w:rsidRPr="000C2D4B" w:rsidRDefault="000C2D4B" w:rsidP="00FC02E2">
            <w:pPr>
              <w:spacing w:line="360" w:lineRule="auto"/>
              <w:rPr>
                <w:b/>
                <w:bCs/>
                <w:vertAlign w:val="subscript"/>
              </w:rPr>
            </w:pPr>
            <w:r w:rsidRPr="000C2D4B">
              <w:rPr>
                <w:b/>
                <w:bCs/>
              </w:rPr>
              <w:t>SO</w:t>
            </w:r>
            <w:r w:rsidRPr="000C2D4B">
              <w:rPr>
                <w:b/>
                <w:bCs/>
                <w:vertAlign w:val="subscript"/>
              </w:rPr>
              <w:t>2</w:t>
            </w:r>
          </w:p>
        </w:tc>
        <w:tc>
          <w:tcPr>
            <w:tcW w:w="790" w:type="dxa"/>
            <w:tcBorders>
              <w:top w:val="single" w:sz="4" w:space="0" w:color="auto"/>
              <w:bottom w:val="single" w:sz="4" w:space="0" w:color="auto"/>
            </w:tcBorders>
          </w:tcPr>
          <w:p w14:paraId="23DD4D7E" w14:textId="65F68FA1" w:rsidR="000C2D4B" w:rsidRPr="000C2D4B" w:rsidRDefault="000C2D4B" w:rsidP="00FC02E2">
            <w:pPr>
              <w:spacing w:line="360" w:lineRule="auto"/>
              <w:rPr>
                <w:b/>
                <w:bCs/>
              </w:rPr>
            </w:pPr>
            <w:r w:rsidRPr="000C2D4B">
              <w:rPr>
                <w:b/>
                <w:bCs/>
              </w:rPr>
              <w:t>OC</w:t>
            </w:r>
          </w:p>
        </w:tc>
        <w:tc>
          <w:tcPr>
            <w:tcW w:w="871" w:type="dxa"/>
            <w:tcBorders>
              <w:top w:val="single" w:sz="4" w:space="0" w:color="auto"/>
              <w:bottom w:val="single" w:sz="4" w:space="0" w:color="auto"/>
            </w:tcBorders>
          </w:tcPr>
          <w:p w14:paraId="7BF295BD" w14:textId="49EA3ECD" w:rsidR="000C2D4B" w:rsidRPr="000C2D4B" w:rsidRDefault="000C2D4B" w:rsidP="00FC02E2">
            <w:pPr>
              <w:spacing w:line="360" w:lineRule="auto"/>
              <w:rPr>
                <w:b/>
                <w:bCs/>
                <w:vertAlign w:val="subscript"/>
              </w:rPr>
            </w:pPr>
            <w:r w:rsidRPr="000C2D4B">
              <w:rPr>
                <w:b/>
                <w:bCs/>
              </w:rPr>
              <w:t>PM</w:t>
            </w:r>
            <w:r w:rsidRPr="000C2D4B">
              <w:rPr>
                <w:b/>
                <w:bCs/>
                <w:vertAlign w:val="subscript"/>
              </w:rPr>
              <w:t>2.5</w:t>
            </w:r>
          </w:p>
        </w:tc>
        <w:tc>
          <w:tcPr>
            <w:tcW w:w="786" w:type="dxa"/>
            <w:tcBorders>
              <w:top w:val="single" w:sz="4" w:space="0" w:color="auto"/>
              <w:bottom w:val="single" w:sz="4" w:space="0" w:color="auto"/>
            </w:tcBorders>
          </w:tcPr>
          <w:p w14:paraId="246771FE" w14:textId="2F4EC3F2" w:rsidR="000C2D4B" w:rsidRPr="000C2D4B" w:rsidRDefault="000C2D4B" w:rsidP="00FC02E2">
            <w:pPr>
              <w:spacing w:line="360" w:lineRule="auto"/>
              <w:rPr>
                <w:b/>
                <w:bCs/>
              </w:rPr>
            </w:pPr>
            <w:r w:rsidRPr="000C2D4B">
              <w:rPr>
                <w:b/>
                <w:bCs/>
              </w:rPr>
              <w:t>BC</w:t>
            </w:r>
          </w:p>
        </w:tc>
        <w:tc>
          <w:tcPr>
            <w:tcW w:w="825" w:type="dxa"/>
            <w:tcBorders>
              <w:top w:val="single" w:sz="4" w:space="0" w:color="auto"/>
              <w:bottom w:val="single" w:sz="4" w:space="0" w:color="auto"/>
            </w:tcBorders>
          </w:tcPr>
          <w:p w14:paraId="2F8CDA57" w14:textId="572AA658" w:rsidR="000C2D4B" w:rsidRPr="000C2D4B" w:rsidRDefault="000C2D4B" w:rsidP="00FC02E2">
            <w:pPr>
              <w:spacing w:line="360" w:lineRule="auto"/>
              <w:rPr>
                <w:b/>
                <w:bCs/>
                <w:vertAlign w:val="subscript"/>
              </w:rPr>
            </w:pPr>
            <w:r w:rsidRPr="000C2D4B">
              <w:rPr>
                <w:b/>
                <w:bCs/>
              </w:rPr>
              <w:t>NO</w:t>
            </w:r>
            <w:r w:rsidRPr="000C2D4B">
              <w:rPr>
                <w:b/>
                <w:bCs/>
                <w:vertAlign w:val="subscript"/>
              </w:rPr>
              <w:t>x</w:t>
            </w:r>
          </w:p>
        </w:tc>
        <w:tc>
          <w:tcPr>
            <w:tcW w:w="1150" w:type="dxa"/>
            <w:tcBorders>
              <w:top w:val="single" w:sz="4" w:space="0" w:color="auto"/>
              <w:bottom w:val="single" w:sz="4" w:space="0" w:color="auto"/>
            </w:tcBorders>
          </w:tcPr>
          <w:p w14:paraId="49A116DE" w14:textId="16FDD288" w:rsidR="000C2D4B" w:rsidRPr="000C2D4B" w:rsidRDefault="000C2D4B" w:rsidP="00FC02E2">
            <w:pPr>
              <w:spacing w:line="360" w:lineRule="auto"/>
              <w:rPr>
                <w:b/>
                <w:bCs/>
              </w:rPr>
            </w:pPr>
            <w:r w:rsidRPr="000C2D4B">
              <w:rPr>
                <w:b/>
                <w:bCs/>
              </w:rPr>
              <w:t>NMVOC</w:t>
            </w:r>
          </w:p>
        </w:tc>
        <w:tc>
          <w:tcPr>
            <w:tcW w:w="821" w:type="dxa"/>
            <w:tcBorders>
              <w:top w:val="single" w:sz="4" w:space="0" w:color="auto"/>
              <w:bottom w:val="single" w:sz="4" w:space="0" w:color="auto"/>
            </w:tcBorders>
          </w:tcPr>
          <w:p w14:paraId="03CA6A1A" w14:textId="48408E39" w:rsidR="000C2D4B" w:rsidRPr="000C2D4B" w:rsidRDefault="000C2D4B" w:rsidP="00FC02E2">
            <w:pPr>
              <w:spacing w:line="360" w:lineRule="auto"/>
              <w:rPr>
                <w:b/>
                <w:bCs/>
                <w:vertAlign w:val="subscript"/>
              </w:rPr>
            </w:pPr>
            <w:r w:rsidRPr="000C2D4B">
              <w:rPr>
                <w:b/>
                <w:bCs/>
              </w:rPr>
              <w:t>NH</w:t>
            </w:r>
            <w:r w:rsidRPr="000C2D4B">
              <w:rPr>
                <w:b/>
                <w:bCs/>
                <w:vertAlign w:val="subscript"/>
              </w:rPr>
              <w:t>3</w:t>
            </w:r>
          </w:p>
        </w:tc>
      </w:tr>
      <w:tr w:rsidR="00492656" w14:paraId="120998C8" w14:textId="77777777" w:rsidTr="00492656">
        <w:tc>
          <w:tcPr>
            <w:tcW w:w="875" w:type="dxa"/>
            <w:tcBorders>
              <w:top w:val="single" w:sz="4" w:space="0" w:color="auto"/>
              <w:bottom w:val="single" w:sz="4" w:space="0" w:color="auto"/>
            </w:tcBorders>
          </w:tcPr>
          <w:p w14:paraId="73EFC88C" w14:textId="70959625" w:rsidR="00492656" w:rsidRPr="00492656" w:rsidRDefault="00492656" w:rsidP="00FC02E2">
            <w:pPr>
              <w:spacing w:line="360" w:lineRule="auto"/>
            </w:pPr>
            <w:r w:rsidRPr="00492656">
              <w:t>2003-2004</w:t>
            </w:r>
          </w:p>
        </w:tc>
        <w:tc>
          <w:tcPr>
            <w:tcW w:w="821" w:type="dxa"/>
            <w:tcBorders>
              <w:top w:val="single" w:sz="4" w:space="0" w:color="auto"/>
              <w:bottom w:val="single" w:sz="4" w:space="0" w:color="auto"/>
            </w:tcBorders>
          </w:tcPr>
          <w:p w14:paraId="50EDA1DD" w14:textId="425576DA" w:rsidR="00492656" w:rsidRPr="00492656" w:rsidRDefault="00492656" w:rsidP="00FC02E2">
            <w:pPr>
              <w:spacing w:line="360" w:lineRule="auto"/>
            </w:pPr>
            <w:r w:rsidRPr="00492656">
              <w:t>3250</w:t>
            </w:r>
          </w:p>
        </w:tc>
        <w:tc>
          <w:tcPr>
            <w:tcW w:w="790" w:type="dxa"/>
            <w:tcBorders>
              <w:top w:val="single" w:sz="4" w:space="0" w:color="auto"/>
              <w:bottom w:val="single" w:sz="4" w:space="0" w:color="auto"/>
            </w:tcBorders>
          </w:tcPr>
          <w:p w14:paraId="476770A1" w14:textId="0249F06F" w:rsidR="00492656" w:rsidRPr="00492656" w:rsidRDefault="00492656" w:rsidP="00FC02E2">
            <w:pPr>
              <w:spacing w:line="360" w:lineRule="auto"/>
            </w:pPr>
            <w:r>
              <w:t>120</w:t>
            </w:r>
          </w:p>
        </w:tc>
        <w:tc>
          <w:tcPr>
            <w:tcW w:w="820" w:type="dxa"/>
            <w:tcBorders>
              <w:top w:val="single" w:sz="4" w:space="0" w:color="auto"/>
              <w:bottom w:val="single" w:sz="4" w:space="0" w:color="auto"/>
            </w:tcBorders>
          </w:tcPr>
          <w:p w14:paraId="6658A60E" w14:textId="7C4A1432" w:rsidR="00492656" w:rsidRPr="00492656" w:rsidRDefault="00492656" w:rsidP="00FC02E2">
            <w:pPr>
              <w:spacing w:line="360" w:lineRule="auto"/>
            </w:pPr>
            <w:r w:rsidRPr="00492656">
              <w:t>5.1</w:t>
            </w:r>
          </w:p>
        </w:tc>
        <w:tc>
          <w:tcPr>
            <w:tcW w:w="811" w:type="dxa"/>
            <w:tcBorders>
              <w:top w:val="single" w:sz="4" w:space="0" w:color="auto"/>
              <w:bottom w:val="single" w:sz="4" w:space="0" w:color="auto"/>
            </w:tcBorders>
          </w:tcPr>
          <w:p w14:paraId="71E7518E" w14:textId="34EFCB9E" w:rsidR="00492656" w:rsidRPr="00492656" w:rsidRDefault="00492656" w:rsidP="00FC02E2">
            <w:pPr>
              <w:spacing w:line="360" w:lineRule="auto"/>
            </w:pPr>
            <w:r w:rsidRPr="00492656">
              <w:t>0.9</w:t>
            </w:r>
          </w:p>
        </w:tc>
        <w:tc>
          <w:tcPr>
            <w:tcW w:w="790" w:type="dxa"/>
            <w:tcBorders>
              <w:top w:val="single" w:sz="4" w:space="0" w:color="auto"/>
              <w:bottom w:val="single" w:sz="4" w:space="0" w:color="auto"/>
            </w:tcBorders>
          </w:tcPr>
          <w:p w14:paraId="5230B90F" w14:textId="4414E80B" w:rsidR="00492656" w:rsidRPr="00492656" w:rsidRDefault="00492656" w:rsidP="00FC02E2">
            <w:pPr>
              <w:spacing w:line="360" w:lineRule="auto"/>
            </w:pPr>
            <w:r w:rsidRPr="00492656">
              <w:t>6.7</w:t>
            </w:r>
          </w:p>
        </w:tc>
        <w:tc>
          <w:tcPr>
            <w:tcW w:w="871" w:type="dxa"/>
            <w:tcBorders>
              <w:top w:val="single" w:sz="4" w:space="0" w:color="auto"/>
              <w:bottom w:val="single" w:sz="4" w:space="0" w:color="auto"/>
            </w:tcBorders>
          </w:tcPr>
          <w:p w14:paraId="323853AF" w14:textId="7D9AE1DB" w:rsidR="00492656" w:rsidRPr="00492656" w:rsidRDefault="00492656" w:rsidP="00FC02E2">
            <w:pPr>
              <w:spacing w:line="360" w:lineRule="auto"/>
            </w:pPr>
            <w:r w:rsidRPr="00492656">
              <w:t>19.2</w:t>
            </w:r>
          </w:p>
        </w:tc>
        <w:tc>
          <w:tcPr>
            <w:tcW w:w="786" w:type="dxa"/>
            <w:tcBorders>
              <w:top w:val="single" w:sz="4" w:space="0" w:color="auto"/>
              <w:bottom w:val="single" w:sz="4" w:space="0" w:color="auto"/>
            </w:tcBorders>
          </w:tcPr>
          <w:p w14:paraId="35EF353E" w14:textId="3D68D5AF" w:rsidR="00492656" w:rsidRPr="00492656" w:rsidRDefault="00492656" w:rsidP="00FC02E2">
            <w:pPr>
              <w:spacing w:line="360" w:lineRule="auto"/>
            </w:pPr>
            <w:r w:rsidRPr="00492656">
              <w:t>1.7</w:t>
            </w:r>
          </w:p>
        </w:tc>
        <w:tc>
          <w:tcPr>
            <w:tcW w:w="825" w:type="dxa"/>
            <w:tcBorders>
              <w:top w:val="single" w:sz="4" w:space="0" w:color="auto"/>
              <w:bottom w:val="single" w:sz="4" w:space="0" w:color="auto"/>
            </w:tcBorders>
          </w:tcPr>
          <w:p w14:paraId="34DA6F1B" w14:textId="08477770" w:rsidR="00492656" w:rsidRPr="00492656" w:rsidRDefault="00492656" w:rsidP="00FC02E2">
            <w:pPr>
              <w:spacing w:line="360" w:lineRule="auto"/>
            </w:pPr>
            <w:r w:rsidRPr="00492656">
              <w:t>5.5</w:t>
            </w:r>
          </w:p>
        </w:tc>
        <w:tc>
          <w:tcPr>
            <w:tcW w:w="1150" w:type="dxa"/>
            <w:tcBorders>
              <w:top w:val="single" w:sz="4" w:space="0" w:color="auto"/>
              <w:bottom w:val="single" w:sz="4" w:space="0" w:color="auto"/>
            </w:tcBorders>
          </w:tcPr>
          <w:p w14:paraId="3AE521A5" w14:textId="2E43285D" w:rsidR="00492656" w:rsidRPr="00492656" w:rsidRDefault="00492656" w:rsidP="00FC02E2">
            <w:pPr>
              <w:spacing w:line="360" w:lineRule="auto"/>
            </w:pPr>
            <w:r w:rsidRPr="00492656">
              <w:t>17.6</w:t>
            </w:r>
          </w:p>
        </w:tc>
        <w:tc>
          <w:tcPr>
            <w:tcW w:w="821" w:type="dxa"/>
            <w:tcBorders>
              <w:top w:val="single" w:sz="4" w:space="0" w:color="auto"/>
              <w:bottom w:val="single" w:sz="4" w:space="0" w:color="auto"/>
            </w:tcBorders>
          </w:tcPr>
          <w:p w14:paraId="034891AF" w14:textId="1EF65E59" w:rsidR="00492656" w:rsidRPr="00492656" w:rsidRDefault="00492656" w:rsidP="00FC02E2">
            <w:pPr>
              <w:spacing w:line="360" w:lineRule="auto"/>
            </w:pPr>
            <w:r w:rsidRPr="00492656">
              <w:t>2.1</w:t>
            </w:r>
          </w:p>
        </w:tc>
      </w:tr>
      <w:tr w:rsidR="000C2D4B" w14:paraId="2E658EEC" w14:textId="07552198" w:rsidTr="00492656">
        <w:tc>
          <w:tcPr>
            <w:tcW w:w="875" w:type="dxa"/>
            <w:tcBorders>
              <w:top w:val="single" w:sz="4" w:space="0" w:color="auto"/>
            </w:tcBorders>
          </w:tcPr>
          <w:p w14:paraId="7B6B694D" w14:textId="60754AF4" w:rsidR="000C2D4B" w:rsidRDefault="000C2D4B" w:rsidP="00FC02E2">
            <w:pPr>
              <w:spacing w:line="360" w:lineRule="auto"/>
            </w:pPr>
            <w:r>
              <w:t>2016-2017</w:t>
            </w:r>
          </w:p>
        </w:tc>
        <w:tc>
          <w:tcPr>
            <w:tcW w:w="821" w:type="dxa"/>
            <w:tcBorders>
              <w:top w:val="single" w:sz="4" w:space="0" w:color="auto"/>
            </w:tcBorders>
          </w:tcPr>
          <w:p w14:paraId="62B3AAAD" w14:textId="72DF5C34" w:rsidR="000C2D4B" w:rsidRDefault="000C2D4B" w:rsidP="00FC02E2">
            <w:pPr>
              <w:spacing w:line="360" w:lineRule="auto"/>
            </w:pPr>
            <w:r>
              <w:t>4140</w:t>
            </w:r>
          </w:p>
        </w:tc>
        <w:tc>
          <w:tcPr>
            <w:tcW w:w="790" w:type="dxa"/>
            <w:tcBorders>
              <w:top w:val="single" w:sz="4" w:space="0" w:color="auto"/>
            </w:tcBorders>
          </w:tcPr>
          <w:p w14:paraId="21A7AADB" w14:textId="4961D804" w:rsidR="000C2D4B" w:rsidRDefault="000C2D4B" w:rsidP="00FC02E2">
            <w:pPr>
              <w:spacing w:line="360" w:lineRule="auto"/>
            </w:pPr>
            <w:r>
              <w:t>154</w:t>
            </w:r>
          </w:p>
        </w:tc>
        <w:tc>
          <w:tcPr>
            <w:tcW w:w="820" w:type="dxa"/>
            <w:tcBorders>
              <w:top w:val="single" w:sz="4" w:space="0" w:color="auto"/>
            </w:tcBorders>
          </w:tcPr>
          <w:p w14:paraId="38525EA3" w14:textId="343E23FD" w:rsidR="000C2D4B" w:rsidRDefault="000C2D4B" w:rsidP="00FC02E2">
            <w:pPr>
              <w:spacing w:line="360" w:lineRule="auto"/>
            </w:pPr>
            <w:r>
              <w:t>6.5</w:t>
            </w:r>
          </w:p>
        </w:tc>
        <w:tc>
          <w:tcPr>
            <w:tcW w:w="811" w:type="dxa"/>
            <w:tcBorders>
              <w:top w:val="single" w:sz="4" w:space="0" w:color="auto"/>
            </w:tcBorders>
          </w:tcPr>
          <w:p w14:paraId="4B056D34" w14:textId="419C83BF" w:rsidR="000C2D4B" w:rsidRDefault="000C2D4B" w:rsidP="00FC02E2">
            <w:pPr>
              <w:spacing w:line="360" w:lineRule="auto"/>
            </w:pPr>
            <w:r>
              <w:t>1.2</w:t>
            </w:r>
          </w:p>
        </w:tc>
        <w:tc>
          <w:tcPr>
            <w:tcW w:w="790" w:type="dxa"/>
            <w:tcBorders>
              <w:top w:val="single" w:sz="4" w:space="0" w:color="auto"/>
            </w:tcBorders>
          </w:tcPr>
          <w:p w14:paraId="2A3B4380" w14:textId="729B2A35" w:rsidR="000C2D4B" w:rsidRDefault="000C2D4B" w:rsidP="00FC02E2">
            <w:pPr>
              <w:spacing w:line="360" w:lineRule="auto"/>
            </w:pPr>
            <w:r>
              <w:t>8.6</w:t>
            </w:r>
          </w:p>
        </w:tc>
        <w:tc>
          <w:tcPr>
            <w:tcW w:w="871" w:type="dxa"/>
            <w:tcBorders>
              <w:top w:val="single" w:sz="4" w:space="0" w:color="auto"/>
            </w:tcBorders>
          </w:tcPr>
          <w:p w14:paraId="3E9956A6" w14:textId="052789D7" w:rsidR="000C2D4B" w:rsidRDefault="000C2D4B" w:rsidP="00FC02E2">
            <w:pPr>
              <w:spacing w:line="360" w:lineRule="auto"/>
            </w:pPr>
            <w:r>
              <w:t>24.5</w:t>
            </w:r>
          </w:p>
        </w:tc>
        <w:tc>
          <w:tcPr>
            <w:tcW w:w="786" w:type="dxa"/>
            <w:tcBorders>
              <w:top w:val="single" w:sz="4" w:space="0" w:color="auto"/>
            </w:tcBorders>
          </w:tcPr>
          <w:p w14:paraId="1B9DED48" w14:textId="1C5E2D11" w:rsidR="000C2D4B" w:rsidRDefault="000C2D4B" w:rsidP="00FC02E2">
            <w:pPr>
              <w:spacing w:line="360" w:lineRule="auto"/>
            </w:pPr>
            <w:r>
              <w:t>2.2</w:t>
            </w:r>
          </w:p>
        </w:tc>
        <w:tc>
          <w:tcPr>
            <w:tcW w:w="825" w:type="dxa"/>
            <w:tcBorders>
              <w:top w:val="single" w:sz="4" w:space="0" w:color="auto"/>
            </w:tcBorders>
          </w:tcPr>
          <w:p w14:paraId="14A4A7DE" w14:textId="0E7040F7" w:rsidR="000C2D4B" w:rsidRDefault="000C2D4B" w:rsidP="00FC02E2">
            <w:pPr>
              <w:spacing w:line="360" w:lineRule="auto"/>
            </w:pPr>
            <w:r>
              <w:t>7.0</w:t>
            </w:r>
          </w:p>
        </w:tc>
        <w:tc>
          <w:tcPr>
            <w:tcW w:w="1150" w:type="dxa"/>
            <w:tcBorders>
              <w:top w:val="single" w:sz="4" w:space="0" w:color="auto"/>
            </w:tcBorders>
          </w:tcPr>
          <w:p w14:paraId="0BC8B8C8" w14:textId="15F21DC7" w:rsidR="000C2D4B" w:rsidRDefault="000C2D4B" w:rsidP="00FC02E2">
            <w:pPr>
              <w:spacing w:line="360" w:lineRule="auto"/>
            </w:pPr>
            <w:r>
              <w:t>22.5</w:t>
            </w:r>
          </w:p>
        </w:tc>
        <w:tc>
          <w:tcPr>
            <w:tcW w:w="821" w:type="dxa"/>
            <w:tcBorders>
              <w:top w:val="single" w:sz="4" w:space="0" w:color="auto"/>
            </w:tcBorders>
          </w:tcPr>
          <w:p w14:paraId="67F675E5" w14:textId="54ABA5A9" w:rsidR="000C2D4B" w:rsidRDefault="000C2D4B" w:rsidP="00FC02E2">
            <w:pPr>
              <w:spacing w:line="360" w:lineRule="auto"/>
            </w:pPr>
            <w:r>
              <w:t>2.7</w:t>
            </w:r>
          </w:p>
        </w:tc>
      </w:tr>
    </w:tbl>
    <w:p w14:paraId="7CDCB8D6" w14:textId="67AF779A" w:rsidR="00991B2A" w:rsidRDefault="00873F88" w:rsidP="00FC02E2">
      <w:pPr>
        <w:spacing w:line="360" w:lineRule="auto"/>
      </w:pPr>
      <w:r>
        <w:t xml:space="preserve"> </w:t>
      </w:r>
    </w:p>
    <w:p w14:paraId="518C2F27" w14:textId="113EA7B8" w:rsidR="00273E30" w:rsidRDefault="00273E30" w:rsidP="00FC02E2">
      <w:pPr>
        <w:spacing w:line="360" w:lineRule="auto"/>
      </w:pPr>
      <w:r w:rsidRPr="00273E30">
        <w:t xml:space="preserve">February to May accounted for </w:t>
      </w:r>
      <w:r w:rsidRPr="00273E30">
        <w:rPr>
          <w:b/>
          <w:bCs/>
        </w:rPr>
        <w:t>86.16%</w:t>
      </w:r>
      <w:r w:rsidRPr="00273E30">
        <w:t xml:space="preserve"> of the total emissions, with the peak occurring in April. </w:t>
      </w:r>
      <w:r>
        <w:t>N</w:t>
      </w:r>
      <w:r w:rsidRPr="00273E30">
        <w:t>o emissions occurred between July and September</w:t>
      </w:r>
      <w:r>
        <w:t xml:space="preserve"> </w:t>
      </w:r>
      <w:sdt>
        <w:sdtPr>
          <w:rPr>
            <w:color w:val="000000"/>
          </w:rPr>
          <w:tag w:val="MENDELEY_CITATION_v3_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"/>
          <w:id w:val="849915424"/>
          <w:placeholder>
            <w:docPart w:val="DefaultPlaceholder_-1854013440"/>
          </w:placeholder>
        </w:sdtPr>
        <w:sdtContent>
          <w:r w:rsidRPr="00273E30">
            <w:rPr>
              <w:color w:val="000000"/>
            </w:rPr>
            <w:t>(Das et al., 2020)</w:t>
          </w:r>
        </w:sdtContent>
      </w:sdt>
      <w:r w:rsidRPr="00273E30">
        <w:t>.</w:t>
      </w:r>
    </w:p>
    <w:p w14:paraId="2BB4F6DE" w14:textId="586F5EE4" w:rsidR="00150D6C" w:rsidRDefault="00150D6C" w:rsidP="00FC02E2">
      <w:pPr>
        <w:spacing w:line="360" w:lineRule="auto"/>
      </w:pPr>
    </w:p>
    <w:p w14:paraId="5E3277EB" w14:textId="610866DB" w:rsidR="0056009E" w:rsidRPr="00150D6C" w:rsidRDefault="00150D6C" w:rsidP="00FC02E2">
      <w:pPr>
        <w:spacing w:line="360" w:lineRule="auto"/>
        <w:rPr>
          <w:b/>
          <w:bCs/>
        </w:rPr>
      </w:pPr>
      <w:r w:rsidRPr="00150D6C">
        <w:rPr>
          <w:b/>
          <w:bCs/>
        </w:rPr>
        <w:t>PAKISTA</w:t>
      </w:r>
      <w:r>
        <w:rPr>
          <w:b/>
          <w:bCs/>
        </w:rPr>
        <w:t>N</w:t>
      </w:r>
    </w:p>
    <w:p w14:paraId="2880C832" w14:textId="77777777" w:rsidR="00150D6C" w:rsidRDefault="00150D6C" w:rsidP="00FC02E2">
      <w:pPr>
        <w:keepNext/>
        <w:spacing w:line="360" w:lineRule="auto"/>
        <w:jc w:val="center"/>
      </w:pPr>
      <w:r>
        <w:rPr>
          <w:b/>
          <w:noProof/>
        </w:rPr>
        <w:drawing>
          <wp:inline distT="0" distB="0" distL="0" distR="0" wp14:anchorId="1DFAA65A" wp14:editId="3E08221A">
            <wp:extent cx="3695700" cy="24146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l="34398" t="42783"/>
                    <a:stretch>
                      <a:fillRect/>
                    </a:stretch>
                  </pic:blipFill>
                  <pic:spPr bwMode="auto">
                    <a:xfrm>
                      <a:off x="0" y="0"/>
                      <a:ext cx="3716032" cy="2427911"/>
                    </a:xfrm>
                    <a:prstGeom prst="rect">
                      <a:avLst/>
                    </a:prstGeom>
                    <a:noFill/>
                    <a:ln>
                      <a:noFill/>
                    </a:ln>
                  </pic:spPr>
                </pic:pic>
              </a:graphicData>
            </a:graphic>
          </wp:inline>
        </w:drawing>
      </w:r>
    </w:p>
    <w:p w14:paraId="27F296F4" w14:textId="0C25B0F5" w:rsidR="005656CB" w:rsidRDefault="00150D6C" w:rsidP="00FC02E2">
      <w:pPr>
        <w:pStyle w:val="Caption"/>
        <w:spacing w:line="360" w:lineRule="auto"/>
        <w:jc w:val="center"/>
        <w:rPr>
          <w:sz w:val="24"/>
          <w:lang w:eastAsia="en-GB"/>
        </w:rPr>
      </w:pPr>
      <w:r>
        <w:fldChar w:fldCharType="begin"/>
      </w:r>
      <w:r>
        <w:instrText xml:space="preserve"> SEQ Figure \* ARABIC </w:instrText>
      </w:r>
      <w:r>
        <w:fldChar w:fldCharType="separate"/>
      </w:r>
      <w:r w:rsidR="00FC02E2">
        <w:rPr>
          <w:noProof/>
        </w:rPr>
        <w:t>1</w:t>
      </w:r>
      <w:r>
        <w:fldChar w:fldCharType="end"/>
      </w:r>
      <w:r>
        <w:t xml:space="preserve"> Agriculture pattern in Pakistan (</w:t>
      </w:r>
      <w:hyperlink r:id="rId6" w:history="1">
        <w:r w:rsidRPr="00983D03">
          <w:rPr>
            <w:rStyle w:val="Hyperlink"/>
            <w:sz w:val="24"/>
            <w:lang w:eastAsia="en-GB"/>
          </w:rPr>
          <w:t>http://namc.pmd.gov.pk/crop-calender.php</w:t>
        </w:r>
      </w:hyperlink>
      <w:r>
        <w:rPr>
          <w:sz w:val="24"/>
          <w:lang w:eastAsia="en-GB"/>
        </w:rPr>
        <w:t>)</w:t>
      </w:r>
    </w:p>
    <w:p w14:paraId="5A8EB559" w14:textId="33099DE4" w:rsidR="00150D6C" w:rsidRDefault="00150D6C" w:rsidP="00FC02E2">
      <w:pPr>
        <w:spacing w:line="360" w:lineRule="auto"/>
        <w:rPr>
          <w:lang w:eastAsia="en-GB"/>
        </w:rPr>
      </w:pPr>
      <w:r>
        <w:rPr>
          <w:lang w:eastAsia="en-GB"/>
        </w:rPr>
        <w:lastRenderedPageBreak/>
        <w:t>Total emissions in Pakistan due to 4 major crops (</w:t>
      </w:r>
      <w:proofErr w:type="gramStart"/>
      <w:r>
        <w:rPr>
          <w:lang w:eastAsia="en-GB"/>
        </w:rPr>
        <w:t>Wheat,  maize</w:t>
      </w:r>
      <w:proofErr w:type="gramEnd"/>
      <w:r>
        <w:rPr>
          <w:lang w:eastAsia="en-GB"/>
        </w:rPr>
        <w:t>, sugarcane and Rice) : 21Tg</w:t>
      </w:r>
    </w:p>
    <w:p w14:paraId="12FAF8EA" w14:textId="3573711D" w:rsidR="00150D6C" w:rsidRPr="00FC02E2" w:rsidRDefault="00150D6C" w:rsidP="00FC02E2">
      <w:pPr>
        <w:spacing w:line="360" w:lineRule="auto"/>
        <w:rPr>
          <w:b/>
          <w:bCs/>
          <w:lang w:eastAsia="en-GB"/>
        </w:rPr>
      </w:pPr>
      <w:r w:rsidRPr="00150D6C">
        <w:rPr>
          <w:lang w:eastAsia="en-GB"/>
        </w:rPr>
        <w:t>Agricultural residue burning has also been identified as second largest source contributing to organic carbon (OC) in PM2.5 in urban areas of Pakistan, consequently making the air quality of bigger cities (</w:t>
      </w:r>
      <w:proofErr w:type="gramStart"/>
      <w:r w:rsidRPr="00150D6C">
        <w:rPr>
          <w:lang w:eastAsia="en-GB"/>
        </w:rPr>
        <w:t>e,g</w:t>
      </w:r>
      <w:proofErr w:type="gramEnd"/>
      <w:r w:rsidRPr="00150D6C">
        <w:rPr>
          <w:lang w:eastAsia="en-GB"/>
        </w:rPr>
        <w:t>, Lahore) ranked amongst the worst globally. Similarly, emissions from crop residue burning</w:t>
      </w:r>
      <w:r>
        <w:rPr>
          <w:lang w:eastAsia="en-GB"/>
        </w:rPr>
        <w:t xml:space="preserve"> and other anthropogenic activities</w:t>
      </w:r>
      <w:r w:rsidRPr="00150D6C">
        <w:rPr>
          <w:lang w:eastAsia="en-GB"/>
        </w:rPr>
        <w:t xml:space="preserve"> are reported to be significant enough to influence the variability of gaseous pollutants </w:t>
      </w:r>
      <w:proofErr w:type="gramStart"/>
      <w:r w:rsidRPr="00150D6C">
        <w:rPr>
          <w:lang w:eastAsia="en-GB"/>
        </w:rPr>
        <w:t>e.g.</w:t>
      </w:r>
      <w:proofErr w:type="gramEnd"/>
      <w:r w:rsidRPr="00150D6C">
        <w:rPr>
          <w:lang w:eastAsia="en-GB"/>
        </w:rPr>
        <w:t xml:space="preserve"> CO in the region. Combined with favorable meteorological conditions of low mixing height and low wind speeds in the Indo-Gangetic plain, the pollutants emitted by </w:t>
      </w:r>
      <w:r w:rsidRPr="00FC02E2">
        <w:rPr>
          <w:b/>
          <w:bCs/>
          <w:lang w:eastAsia="en-GB"/>
        </w:rPr>
        <w:t>biomass burning during October–February, significantly contribute towards near-ground-formation of thick haze, which covers the region from west to east.</w:t>
      </w:r>
    </w:p>
    <w:p w14:paraId="2A6B5A15" w14:textId="77777777" w:rsidR="00FC02E2" w:rsidRDefault="00150D6C" w:rsidP="00FC02E2">
      <w:pPr>
        <w:spacing w:line="360" w:lineRule="auto"/>
        <w:rPr>
          <w:rFonts w:ascii="Georgia" w:hAnsi="Georgia"/>
          <w:color w:val="2E2E2E"/>
        </w:rPr>
      </w:pPr>
      <w:r>
        <w:rPr>
          <w:rFonts w:ascii="Georgia" w:hAnsi="Georgia"/>
          <w:color w:val="2E2E2E"/>
        </w:rPr>
        <w:t>Total residue generated for selected crops was 62.47</w:t>
      </w:r>
      <w:r>
        <w:rPr>
          <w:rFonts w:cs="Times New Roman"/>
          <w:color w:val="2E2E2E"/>
        </w:rPr>
        <w:t> </w:t>
      </w:r>
      <w:proofErr w:type="gramStart"/>
      <w:r>
        <w:rPr>
          <w:rFonts w:ascii="Georgia" w:hAnsi="Georgia"/>
          <w:color w:val="2E2E2E"/>
        </w:rPr>
        <w:t>Tg</w:t>
      </w:r>
      <w:proofErr w:type="gramEnd"/>
      <w:r>
        <w:rPr>
          <w:rFonts w:ascii="Georgia" w:hAnsi="Georgia"/>
          <w:color w:val="2E2E2E"/>
        </w:rPr>
        <w:t xml:space="preserve"> </w:t>
      </w:r>
    </w:p>
    <w:p w14:paraId="36F7CDAD" w14:textId="7915EFE9" w:rsidR="00150D6C" w:rsidRDefault="00150D6C" w:rsidP="00FC02E2">
      <w:pPr>
        <w:spacing w:line="360" w:lineRule="auto"/>
        <w:rPr>
          <w:rFonts w:ascii="Georgia" w:hAnsi="Georgia"/>
          <w:color w:val="2E2E2E"/>
        </w:rPr>
      </w:pPr>
      <w:r>
        <w:rPr>
          <w:rFonts w:ascii="Georgia" w:hAnsi="Georgia"/>
          <w:color w:val="2E2E2E"/>
        </w:rPr>
        <w:t>20</w:t>
      </w:r>
      <w:r>
        <w:rPr>
          <w:rFonts w:cs="Times New Roman"/>
          <w:color w:val="2E2E2E"/>
        </w:rPr>
        <w:t> </w:t>
      </w:r>
      <w:r>
        <w:rPr>
          <w:rFonts w:ascii="Georgia" w:hAnsi="Georgia"/>
          <w:color w:val="2E2E2E"/>
        </w:rPr>
        <w:t>Tg was burned on fields during 2014.</w:t>
      </w:r>
    </w:p>
    <w:p w14:paraId="30A01865" w14:textId="49BE8ACE" w:rsidR="005656CB" w:rsidRDefault="00150D6C" w:rsidP="00FC02E2">
      <w:pPr>
        <w:spacing w:line="360" w:lineRule="auto"/>
        <w:rPr>
          <w:rFonts w:ascii="Georgia" w:hAnsi="Georgia"/>
          <w:color w:val="2E2E2E"/>
        </w:rPr>
      </w:pPr>
      <w:r>
        <w:rPr>
          <w:rFonts w:ascii="Georgia" w:hAnsi="Georgia"/>
          <w:color w:val="2E2E2E"/>
        </w:rPr>
        <w:t xml:space="preserve">Largest share (48%) was that of wheat, followed by rice straw and sugarcane leaves (23% each). Maize straw contributed around 6%.  </w:t>
      </w:r>
    </w:p>
    <w:p w14:paraId="2517EC77" w14:textId="77777777" w:rsidR="00FC02E2" w:rsidRDefault="00FC02E2" w:rsidP="00FC02E2">
      <w:pPr>
        <w:keepNext/>
        <w:spacing w:line="360" w:lineRule="auto"/>
      </w:pPr>
      <w:r>
        <w:rPr>
          <w:noProof/>
        </w:rPr>
        <w:drawing>
          <wp:inline distT="0" distB="0" distL="0" distR="0" wp14:anchorId="1574EB74" wp14:editId="2E7A8DFB">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DFCFBD" w14:textId="6BBAF146" w:rsidR="00FC02E2" w:rsidRDefault="00FC02E2" w:rsidP="00FC02E2">
      <w:pPr>
        <w:pStyle w:val="Caption"/>
        <w:spacing w:line="360" w:lineRule="auto"/>
      </w:pPr>
      <w:r>
        <w:fldChar w:fldCharType="begin"/>
      </w:r>
      <w:r>
        <w:instrText xml:space="preserve"> SEQ Figure \* ARABIC </w:instrText>
      </w:r>
      <w:r>
        <w:fldChar w:fldCharType="separate"/>
      </w:r>
      <w:r>
        <w:rPr>
          <w:noProof/>
        </w:rPr>
        <w:t>2</w:t>
      </w:r>
      <w:r>
        <w:fldChar w:fldCharType="end"/>
      </w:r>
      <w:r>
        <w:t xml:space="preserve"> Crop Residues burned on field during the year 2014 </w:t>
      </w:r>
      <w:sdt>
        <w:sdtPr>
          <w:rPr>
            <w:i w:val="0"/>
            <w:color w:val="000000"/>
          </w:rPr>
          <w:tag w:val="MENDELEY_CITATION_v3_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"/>
          <w:id w:val="-1465957646"/>
          <w:placeholder>
            <w:docPart w:val="DefaultPlaceholder_-1854013440"/>
          </w:placeholder>
        </w:sdtPr>
        <w:sdtContent>
          <w:r w:rsidRPr="00FC02E2">
            <w:rPr>
              <w:i w:val="0"/>
              <w:color w:val="000000"/>
            </w:rPr>
            <w:t>(Azhar et al., 2019)</w:t>
          </w:r>
        </w:sdtContent>
      </w:sdt>
    </w:p>
    <w:p w14:paraId="5F2504DC" w14:textId="2A38465D" w:rsidR="005656CB" w:rsidRDefault="005656CB" w:rsidP="00FC02E2">
      <w:pPr>
        <w:spacing w:line="360" w:lineRule="auto"/>
      </w:pPr>
    </w:p>
    <w:p w14:paraId="4BF01A7A" w14:textId="5534991B" w:rsidR="005656CB" w:rsidRDefault="005656CB" w:rsidP="00FC02E2">
      <w:pPr>
        <w:spacing w:line="360" w:lineRule="auto"/>
      </w:pPr>
    </w:p>
    <w:p w14:paraId="5DE27208" w14:textId="533D72D9" w:rsidR="005656CB" w:rsidRDefault="005656CB" w:rsidP="00FC02E2">
      <w:pPr>
        <w:spacing w:line="360" w:lineRule="auto"/>
      </w:pPr>
    </w:p>
    <w:p w14:paraId="776BD5C8" w14:textId="7EF54985" w:rsidR="005656CB" w:rsidRDefault="005656CB" w:rsidP="00FC02E2">
      <w:pPr>
        <w:spacing w:line="360" w:lineRule="auto"/>
      </w:pPr>
    </w:p>
    <w:p w14:paraId="23127ADD" w14:textId="17003A64" w:rsidR="005656CB" w:rsidRDefault="005656CB" w:rsidP="00FC02E2">
      <w:pPr>
        <w:spacing w:line="360" w:lineRule="auto"/>
      </w:pPr>
    </w:p>
    <w:p w14:paraId="7ECCDA74" w14:textId="13E582F6" w:rsidR="005656CB" w:rsidRDefault="005656CB" w:rsidP="00FC02E2">
      <w:pPr>
        <w:spacing w:line="360" w:lineRule="auto"/>
      </w:pPr>
    </w:p>
    <w:p w14:paraId="66DDE3B8" w14:textId="77777777" w:rsidR="005656CB" w:rsidRDefault="005656CB" w:rsidP="00FC02E2">
      <w:pPr>
        <w:spacing w:line="360" w:lineRule="auto"/>
      </w:pPr>
    </w:p>
    <w:sectPr w:rsidR="00565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88"/>
    <w:rsid w:val="000C2D4B"/>
    <w:rsid w:val="00150D6C"/>
    <w:rsid w:val="001609E3"/>
    <w:rsid w:val="001761A4"/>
    <w:rsid w:val="00273E30"/>
    <w:rsid w:val="003A7CD2"/>
    <w:rsid w:val="003B1310"/>
    <w:rsid w:val="00492656"/>
    <w:rsid w:val="0056009E"/>
    <w:rsid w:val="005656CB"/>
    <w:rsid w:val="00873F88"/>
    <w:rsid w:val="008B7014"/>
    <w:rsid w:val="00991B2A"/>
    <w:rsid w:val="009D13DA"/>
    <w:rsid w:val="00FB1245"/>
    <w:rsid w:val="00FC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F5BE"/>
  <w15:chartTrackingRefBased/>
  <w15:docId w15:val="{83C8C75A-7EFC-4988-8738-E2153A01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D2"/>
    <w:pPr>
      <w:jc w:val="both"/>
    </w:pPr>
    <w:rPr>
      <w:rFonts w:ascii="Times New Roman" w:hAnsi="Times New Roman"/>
      <w:sz w:val="24"/>
    </w:rPr>
  </w:style>
  <w:style w:type="paragraph" w:styleId="Heading1">
    <w:name w:val="heading 1"/>
    <w:basedOn w:val="Normal"/>
    <w:next w:val="Normal"/>
    <w:link w:val="Heading1Char"/>
    <w:uiPriority w:val="9"/>
    <w:qFormat/>
    <w:rsid w:val="003A7CD2"/>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A7CD2"/>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3A7CD2"/>
    <w:pPr>
      <w:keepNext/>
      <w:keepLines/>
      <w:spacing w:before="40" w:after="0"/>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D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A7CD2"/>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uiPriority w:val="10"/>
    <w:qFormat/>
    <w:rsid w:val="003A7CD2"/>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A7CD2"/>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semiHidden/>
    <w:rsid w:val="003A7CD2"/>
    <w:rPr>
      <w:rFonts w:asciiTheme="majorHAnsi" w:eastAsiaTheme="majorEastAsia" w:hAnsiTheme="majorHAnsi" w:cstheme="majorBidi"/>
      <w:color w:val="000000" w:themeColor="text1"/>
      <w:sz w:val="24"/>
      <w:szCs w:val="24"/>
    </w:rPr>
  </w:style>
  <w:style w:type="table" w:styleId="TableGrid">
    <w:name w:val="Table Grid"/>
    <w:basedOn w:val="TableNormal"/>
    <w:uiPriority w:val="39"/>
    <w:rsid w:val="000C2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3E30"/>
    <w:rPr>
      <w:color w:val="808080"/>
    </w:rPr>
  </w:style>
  <w:style w:type="paragraph" w:styleId="Caption">
    <w:name w:val="caption"/>
    <w:basedOn w:val="Normal"/>
    <w:next w:val="Normal"/>
    <w:uiPriority w:val="35"/>
    <w:unhideWhenUsed/>
    <w:qFormat/>
    <w:rsid w:val="00150D6C"/>
    <w:pPr>
      <w:spacing w:after="200" w:line="240" w:lineRule="auto"/>
    </w:pPr>
    <w:rPr>
      <w:i/>
      <w:iCs/>
      <w:color w:val="44546A" w:themeColor="text2"/>
      <w:sz w:val="18"/>
      <w:szCs w:val="18"/>
    </w:rPr>
  </w:style>
  <w:style w:type="character" w:styleId="Hyperlink">
    <w:name w:val="Hyperlink"/>
    <w:uiPriority w:val="99"/>
    <w:unhideWhenUsed/>
    <w:rsid w:val="00150D6C"/>
    <w:rPr>
      <w:color w:val="0000FF"/>
      <w:u w:val="single"/>
    </w:rPr>
  </w:style>
  <w:style w:type="character" w:styleId="UnresolvedMention">
    <w:name w:val="Unresolved Mention"/>
    <w:basedOn w:val="DefaultParagraphFont"/>
    <w:uiPriority w:val="99"/>
    <w:semiHidden/>
    <w:unhideWhenUsed/>
    <w:rsid w:val="00150D6C"/>
    <w:rPr>
      <w:color w:val="605E5C"/>
      <w:shd w:val="clear" w:color="auto" w:fill="E1DFDD"/>
    </w:rPr>
  </w:style>
  <w:style w:type="character" w:customStyle="1" w:styleId="anchor-text">
    <w:name w:val="anchor-text"/>
    <w:basedOn w:val="DefaultParagraphFont"/>
    <w:rsid w:val="0015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amc.pmd.gov.pk/crop-calender.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Residue burned on field in Pakistan in the year 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2241560950714498"/>
          <c:y val="0.20321178602674667"/>
          <c:w val="0.40664643482064744"/>
          <c:h val="0.69710817397825275"/>
        </c:manualLayout>
      </c:layout>
      <c:doughnutChart>
        <c:varyColors val="1"/>
        <c:ser>
          <c:idx val="0"/>
          <c:order val="0"/>
          <c:tx>
            <c:strRef>
              <c:f>Sheet1!$B$1</c:f>
              <c:strCache>
                <c:ptCount val="1"/>
                <c:pt idx="0">
                  <c:v>Residue burned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C4-4877-8327-B994CD13D3E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C4-4877-8327-B994CD13D3E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C4-4877-8327-B994CD13D3E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C4-4877-8327-B994CD13D3E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Wheat</c:v>
                </c:pt>
                <c:pt idx="1">
                  <c:v>Rice</c:v>
                </c:pt>
                <c:pt idx="2">
                  <c:v>Maize</c:v>
                </c:pt>
                <c:pt idx="3">
                  <c:v>Sugarcane</c:v>
                </c:pt>
              </c:strCache>
            </c:strRef>
          </c:cat>
          <c:val>
            <c:numRef>
              <c:f>Sheet1!$B$2:$B$5</c:f>
              <c:numCache>
                <c:formatCode>0%</c:formatCode>
                <c:ptCount val="4"/>
                <c:pt idx="0">
                  <c:v>0.48</c:v>
                </c:pt>
                <c:pt idx="1">
                  <c:v>0.23</c:v>
                </c:pt>
                <c:pt idx="2">
                  <c:v>0.06</c:v>
                </c:pt>
                <c:pt idx="3">
                  <c:v>0.23</c:v>
                </c:pt>
              </c:numCache>
            </c:numRef>
          </c:val>
          <c:extLst>
            <c:ext xmlns:c16="http://schemas.microsoft.com/office/drawing/2014/chart" uri="{C3380CC4-5D6E-409C-BE32-E72D297353CC}">
              <c16:uniqueId val="{00000000-CEA3-4566-98D6-B370070D0170}"/>
            </c:ext>
          </c:extLst>
        </c:ser>
        <c:dLbls>
          <c:showLegendKey val="0"/>
          <c:showVal val="0"/>
          <c:showCatName val="1"/>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F105147-E6BC-48EC-A4F3-A1312C23193E}"/>
      </w:docPartPr>
      <w:docPartBody>
        <w:p w:rsidR="00000000" w:rsidRDefault="00DD4900">
          <w:r w:rsidRPr="002E01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00"/>
    <w:rsid w:val="000E4217"/>
    <w:rsid w:val="00DD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49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48BFF4-0005-4975-B1C0-9AF71A7DC9C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ef38a513-f07f-4dcd-9e88-c462c252731a&quot;,&quot;properties&quot;:{&quot;noteIndex&quot;:0},&quot;isEdited&quot;:false,&quot;manualOverride&quot;:{&quot;isManuallyOverridden&quot;:false,&quot;citeprocText&quot;:&quot;(Das et al., 2020)&quot;,&quot;manualOverrideText&quot;:&quot;&quot;},&quot;citationTag&quot;:&quot;MENDELEY_CITATION_v3_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&quot;,&quot;citationItems&quot;:[{&quot;id&quot;:&quot;063cde84-d7cc-3510-ae88-0fdaa7dfb47d&quot;,&quot;itemData&quot;:{&quot;type&quot;:&quot;article-journal&quot;,&quot;id&quot;:&quot;063cde84-d7cc-3510-ae88-0fdaa7dfb47d&quot;,&quot;title&quot;:&quot;A model-ready emission inventory for crop residue open burning in the context of Nepal&quot;,&quot;groupId&quot;:&quot;4865854e-3d7f-37d2-8ca9-5037c7b09e2c&quot;,&quot;author&quot;:[{&quot;family&quot;:&quot;Das&quot;,&quot;given&quot;:&quot;Bhupendra&quot;,&quot;parse-names&quot;:false,&quot;dropping-particle&quot;:&quot;&quot;,&quot;non-dropping-particle&quot;:&quot;&quot;},{&quot;family&quot;:&quot;Bhave&quot;,&quot;given&quot;:&quot;Prakash&quot;,&quot;parse-names&quot;:false,&quot;dropping-particle&quot;:&quot;V.&quot;,&quot;non-dropping-particle&quot;:&quot;&quot;},{&quot;family&quot;:&quot;Puppala&quot;,&quot;given&quot;:&quot;Siva Praveen&quot;,&quot;parse-names&quot;:false,&quot;dropping-particle&quot;:&quot;&quot;,&quot;non-dropping-particle&quot;:&quot;&quot;},{&quot;family&quot;:&quot;Shakya&quot;,&quot;given&quot;:&quot;Kiran&quot;,&quot;parse-names&quot;:false,&quot;dropping-particle&quot;:&quot;&quot;,&quot;non-dropping-particle&quot;:&quot;&quot;},{&quot;family&quot;:&quot;Maharjan&quot;,&quot;given&quot;:&quot;Bijaya&quot;,&quot;parse-names&quot;:false,&quot;dropping-particle&quot;:&quot;&quot;,&quot;non-dropping-particle&quot;:&quot;&quot;},{&quot;family&quot;:&quot;Byanju&quot;,&quot;given&quot;:&quot;Rejina M.&quot;,&quot;parse-names&quot;:false,&quot;dropping-particle&quot;:&quot;&quot;,&quot;non-dropping-particle&quot;:&quot;&quot;}],&quot;container-title&quot;:&quot;Environmental Pollution&quot;,&quot;accessed&quot;:{&quot;date-parts&quot;:[[2023,3,16]]},&quot;DOI&quot;:&quot;10.1016/J.ENVPOL.2020.115069&quot;,&quot;ISSN&quot;:&quot;0269-7491&quot;,&quot;PMID&quot;:&quot;32763722&quot;,&quot;issued&quot;:{&quot;date-parts&quot;:[[2020,11,1]]},&quot;page&quot;:&quot;115069&quot;,&quot;abstract&quot;:&quot;Open burning of crop residue is an important source of air pollution which is poorly characterized in South Asia. Currently, the gridded inventory reported by Global Fire Emissions Database for biomass burning including open burning of crop residue are of coarse resolution (0.25° × 0.25°), and may not be appropriate for a simulation for Nepal. This study develops a comprehensive high resolution (1 km × 1 km) gridded model-ready emissions inventory for Nepal to understand the spatial characteristics of air pollutant emissions from open burning. We estimate the national air pollutant emissions from crop residue burned between the years 2003 and 2017. The best available data on agricultural production, residue consumption patterns, agricultural burning parameters and emission factors were derived from secondary sources. The Monte Carlo method was used to estimate uncertainties. The mass of crop residue burned in 2016/17 was 2908 Gg (61–139%), which was 22% of the dry matter generated that year. By multiplying the burned crop residue mass by emission factors, the air pollutant emissions were estimated as 4140 for CO2 (56–144%), 154 for CO (4–196%), 6.5 for CH4 (7–193%), 1.2 for SO2 (60–140%), 24.5 for PM2.5 (30–170%), 8.6 for OC (38–162%), 2.2 for BC (-1-201%), 7 for NOx (54–146%), 22.5 for NMVOC (8–192%) and 2.7 for NH3 (3–197%) in unit of Gg yr−1. More than 80% of air pollutants were generated during the months of February to May from the open burning of crop residue. The findings of this paper indicate that substantial reduction in open field burning would dramatically improve air quality in both the Terai region and other parts of Nepal and help reduce negative health impacts associated with the open burning of residue such as premature deaths, respiratory disease, and cardiovascular disease.&quot;,&quot;publisher&quot;:&quot;Elsevier&quot;,&quot;volume&quot;:&quot;266&quot;,&quot;container-title-short&quot;:&quot;&quot;},&quot;isTemporary&quot;:false}]},{&quot;citationID&quot;:&quot;MENDELEY_CITATION_d6f03ff1-dac5-408c-af45-aa6278b23ddb&quot;,&quot;properties&quot;:{&quot;noteIndex&quot;:0},&quot;isEdited&quot;:false,&quot;manualOverride&quot;:{&quot;isManuallyOverridden&quot;:false,&quot;citeprocText&quot;:&quot;(Das et al., 2020)&quot;,&quot;manualOverrideText&quot;:&quot;&quot;},&quot;citationTag&quot;:&quot;MENDELEY_CITATION_v3_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&quot;,&quot;citationItems&quot;:[{&quot;id&quot;:&quot;063cde84-d7cc-3510-ae88-0fdaa7dfb47d&quot;,&quot;itemData&quot;:{&quot;type&quot;:&quot;article-journal&quot;,&quot;id&quot;:&quot;063cde84-d7cc-3510-ae88-0fdaa7dfb47d&quot;,&quot;title&quot;:&quot;A model-ready emission inventory for crop residue open burning in the context of Nepal&quot;,&quot;groupId&quot;:&quot;4865854e-3d7f-37d2-8ca9-5037c7b09e2c&quot;,&quot;author&quot;:[{&quot;family&quot;:&quot;Das&quot;,&quot;given&quot;:&quot;Bhupendra&quot;,&quot;parse-names&quot;:false,&quot;dropping-particle&quot;:&quot;&quot;,&quot;non-dropping-particle&quot;:&quot;&quot;},{&quot;family&quot;:&quot;Bhave&quot;,&quot;given&quot;:&quot;Prakash&quot;,&quot;parse-names&quot;:false,&quot;dropping-particle&quot;:&quot;V.&quot;,&quot;non-dropping-particle&quot;:&quot;&quot;},{&quot;family&quot;:&quot;Puppala&quot;,&quot;given&quot;:&quot;Siva Praveen&quot;,&quot;parse-names&quot;:false,&quot;dropping-particle&quot;:&quot;&quot;,&quot;non-dropping-particle&quot;:&quot;&quot;},{&quot;family&quot;:&quot;Shakya&quot;,&quot;given&quot;:&quot;Kiran&quot;,&quot;parse-names&quot;:false,&quot;dropping-particle&quot;:&quot;&quot;,&quot;non-dropping-particle&quot;:&quot;&quot;},{&quot;family&quot;:&quot;Maharjan&quot;,&quot;given&quot;:&quot;Bijaya&quot;,&quot;parse-names&quot;:false,&quot;dropping-particle&quot;:&quot;&quot;,&quot;non-dropping-particle&quot;:&quot;&quot;},{&quot;family&quot;:&quot;Byanju&quot;,&quot;given&quot;:&quot;Rejina M.&quot;,&quot;parse-names&quot;:false,&quot;dropping-particle&quot;:&quot;&quot;,&quot;non-dropping-particle&quot;:&quot;&quot;}],&quot;container-title&quot;:&quot;Environmental Pollution&quot;,&quot;accessed&quot;:{&quot;date-parts&quot;:[[2023,3,16]]},&quot;DOI&quot;:&quot;10.1016/J.ENVPOL.2020.115069&quot;,&quot;ISSN&quot;:&quot;0269-7491&quot;,&quot;PMID&quot;:&quot;32763722&quot;,&quot;issued&quot;:{&quot;date-parts&quot;:[[2020,11,1]]},&quot;page&quot;:&quot;115069&quot;,&quot;abstract&quot;:&quot;Open burning of crop residue is an important source of air pollution which is poorly characterized in South Asia. Currently, the gridded inventory reported by Global Fire Emissions Database for biomass burning including open burning of crop residue are of coarse resolution (0.25° × 0.25°), and may not be appropriate for a simulation for Nepal. This study develops a comprehensive high resolution (1 km × 1 km) gridded model-ready emissions inventory for Nepal to understand the spatial characteristics of air pollutant emissions from open burning. We estimate the national air pollutant emissions from crop residue burned between the years 2003 and 2017. The best available data on agricultural production, residue consumption patterns, agricultural burning parameters and emission factors were derived from secondary sources. The Monte Carlo method was used to estimate uncertainties. The mass of crop residue burned in 2016/17 was 2908 Gg (61–139%), which was 22% of the dry matter generated that year. By multiplying the burned crop residue mass by emission factors, the air pollutant emissions were estimated as 4140 for CO2 (56–144%), 154 for CO (4–196%), 6.5 for CH4 (7–193%), 1.2 for SO2 (60–140%), 24.5 for PM2.5 (30–170%), 8.6 for OC (38–162%), 2.2 for BC (-1-201%), 7 for NOx (54–146%), 22.5 for NMVOC (8–192%) and 2.7 for NH3 (3–197%) in unit of Gg yr−1. More than 80% of air pollutants were generated during the months of February to May from the open burning of crop residue. The findings of this paper indicate that substantial reduction in open field burning would dramatically improve air quality in both the Terai region and other parts of Nepal and help reduce negative health impacts associated with the open burning of residue such as premature deaths, respiratory disease, and cardiovascular disease.&quot;,&quot;publisher&quot;:&quot;Elsevier&quot;,&quot;volume&quot;:&quot;266&quot;,&quot;container-title-short&quot;:&quot;&quot;},&quot;isTemporary&quot;:false}]},{&quot;citationID&quot;:&quot;MENDELEY_CITATION_8bb87689-ec56-4258-9f36-5c60459b5b6d&quot;,&quot;properties&quot;:{&quot;noteIndex&quot;:0},&quot;isEdited&quot;:false,&quot;manualOverride&quot;:{&quot;isManuallyOverridden&quot;:false,&quot;citeprocText&quot;:&quot;(Das et al., 2020)&quot;,&quot;manualOverrideText&quot;:&quot;&quot;},&quot;citationTag&quot;:&quot;MENDELEY_CITATION_v3_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&quot;,&quot;citationItems&quot;:[{&quot;id&quot;:&quot;063cde84-d7cc-3510-ae88-0fdaa7dfb47d&quot;,&quot;itemData&quot;:{&quot;type&quot;:&quot;article-journal&quot;,&quot;id&quot;:&quot;063cde84-d7cc-3510-ae88-0fdaa7dfb47d&quot;,&quot;title&quot;:&quot;A model-ready emission inventory for crop residue open burning in the context of Nepal&quot;,&quot;groupId&quot;:&quot;4865854e-3d7f-37d2-8ca9-5037c7b09e2c&quot;,&quot;author&quot;:[{&quot;family&quot;:&quot;Das&quot;,&quot;given&quot;:&quot;Bhupendra&quot;,&quot;parse-names&quot;:false,&quot;dropping-particle&quot;:&quot;&quot;,&quot;non-dropping-particle&quot;:&quot;&quot;},{&quot;family&quot;:&quot;Bhave&quot;,&quot;given&quot;:&quot;Prakash&quot;,&quot;parse-names&quot;:false,&quot;dropping-particle&quot;:&quot;V.&quot;,&quot;non-dropping-particle&quot;:&quot;&quot;},{&quot;family&quot;:&quot;Puppala&quot;,&quot;given&quot;:&quot;Siva Praveen&quot;,&quot;parse-names&quot;:false,&quot;dropping-particle&quot;:&quot;&quot;,&quot;non-dropping-particle&quot;:&quot;&quot;},{&quot;family&quot;:&quot;Shakya&quot;,&quot;given&quot;:&quot;Kiran&quot;,&quot;parse-names&quot;:false,&quot;dropping-particle&quot;:&quot;&quot;,&quot;non-dropping-particle&quot;:&quot;&quot;},{&quot;family&quot;:&quot;Maharjan&quot;,&quot;given&quot;:&quot;Bijaya&quot;,&quot;parse-names&quot;:false,&quot;dropping-particle&quot;:&quot;&quot;,&quot;non-dropping-particle&quot;:&quot;&quot;},{&quot;family&quot;:&quot;Byanju&quot;,&quot;given&quot;:&quot;Rejina M.&quot;,&quot;parse-names&quot;:false,&quot;dropping-particle&quot;:&quot;&quot;,&quot;non-dropping-particle&quot;:&quot;&quot;}],&quot;container-title&quot;:&quot;Environmental Pollution&quot;,&quot;accessed&quot;:{&quot;date-parts&quot;:[[2023,3,16]]},&quot;DOI&quot;:&quot;10.1016/J.ENVPOL.2020.115069&quot;,&quot;ISSN&quot;:&quot;0269-7491&quot;,&quot;PMID&quot;:&quot;32763722&quot;,&quot;issued&quot;:{&quot;date-parts&quot;:[[2020,11,1]]},&quot;page&quot;:&quot;115069&quot;,&quot;abstract&quot;:&quot;Open burning of crop residue is an important source of air pollution which is poorly characterized in South Asia. Currently, the gridded inventory reported by Global Fire Emissions Database for biomass burning including open burning of crop residue are of coarse resolution (0.25° × 0.25°), and may not be appropriate for a simulation for Nepal. This study develops a comprehensive high resolution (1 km × 1 km) gridded model-ready emissions inventory for Nepal to understand the spatial characteristics of air pollutant emissions from open burning. We estimate the national air pollutant emissions from crop residue burned between the years 2003 and 2017. The best available data on agricultural production, residue consumption patterns, agricultural burning parameters and emission factors were derived from secondary sources. The Monte Carlo method was used to estimate uncertainties. The mass of crop residue burned in 2016/17 was 2908 Gg (61–139%), which was 22% of the dry matter generated that year. By multiplying the burned crop residue mass by emission factors, the air pollutant emissions were estimated as 4140 for CO2 (56–144%), 154 for CO (4–196%), 6.5 for CH4 (7–193%), 1.2 for SO2 (60–140%), 24.5 for PM2.5 (30–170%), 8.6 for OC (38–162%), 2.2 for BC (-1-201%), 7 for NOx (54–146%), 22.5 for NMVOC (8–192%) and 2.7 for NH3 (3–197%) in unit of Gg yr−1. More than 80% of air pollutants were generated during the months of February to May from the open burning of crop residue. The findings of this paper indicate that substantial reduction in open field burning would dramatically improve air quality in both the Terai region and other parts of Nepal and help reduce negative health impacts associated with the open burning of residue such as premature deaths, respiratory disease, and cardiovascular disease.&quot;,&quot;publisher&quot;:&quot;Elsevier&quot;,&quot;volume&quot;:&quot;266&quot;,&quot;container-title-short&quot;:&quot;&quot;},&quot;isTemporary&quot;:false}]},{&quot;citationID&quot;:&quot;MENDELEY_CITATION_be6f701a-d1b8-4877-a872-1355ef0ac287&quot;,&quot;properties&quot;:{&quot;noteIndex&quot;:0},&quot;isEdited&quot;:false,&quot;manualOverride&quot;:{&quot;isManuallyOverridden&quot;:false,&quot;citeprocText&quot;:&quot;(Azhar et al., 2019)&quot;,&quot;manualOverrideText&quot;:&quot;&quot;},&quot;citationTag&quot;:&quot;MENDELEY_CITATION_v3_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&quot;,&quot;citationItems&quot;:[{&quot;id&quot;:&quot;e3912a01-d5b6-3dcd-b9d5-f2c403fec907&quot;,&quot;itemData&quot;:{&quot;type&quot;:&quot;article-journal&quot;,&quot;id&quot;:&quot;e3912a01-d5b6-3dcd-b9d5-f2c403fec907&quot;,&quot;title&quot;:&quot;Crop residue open field burning in Pakistan; multi-year high spatial resolution emission inventory for 2000–2014&quot;,&quot;groupId&quot;:&quot;4865854e-3d7f-37d2-8ca9-5037c7b09e2c&quot;,&quot;author&quot;:[{&quot;family&quot;:&quot;Azhar&quot;,&quot;given&quot;:&quot;Ramisha&quot;,&quot;parse-names&quot;:false,&quot;dropping-particle&quot;:&quot;&quot;,&quot;non-dropping-particle&quot;:&quot;&quot;},{&quot;family&quot;:&quot;Zeeshan&quot;,&quot;given&quot;:&quot;Muhammad&quot;,&quot;parse-names&quot;:false,&quot;dropping-particle&quot;:&quot;&quot;,&quot;non-dropping-particle&quot;:&quot;&quot;},{&quot;family&quot;:&quot;Fatima&quot;,&quot;given&quot;:&quot;Khunsa&quot;,&quot;parse-names&quot;:false,&quot;dropping-particle&quot;:&quot;&quot;,&quot;non-dropping-particle&quot;:&quot;&quot;}],&quot;container-title&quot;:&quot;Atmospheric Environment&quot;,&quot;container-title-short&quot;:&quot;Atmos Environ&quot;,&quot;accessed&quot;:{&quot;date-parts&quot;:[[2023,2,24]]},&quot;DOI&quot;:&quot;10.1016/J.ATMOSENV.2019.03.031&quot;,&quot;ISSN&quot;:&quot;1352-2310&quot;,&quot;issued&quot;:{&quot;date-parts&quot;:[[2019,7,1]]},&quot;page&quot;:&quot;20-33&quot;,&quot;abstract&quot;:&quot;Over recent years, crop residue burning has become a widely practiced agricultural activity in developing countries due to varying economic and social reasons. To estimate current pollution generation from crop residue burning in Pakistan, an emission inventory was developed based on district level crop production data from 2000 to 2014. Spatial distribution of quantified emissions was achieved by using MODIS Active Fire Data (MOD/MYD14A1) at 1-day temporal and 1 × km spatial resolutions. The fire occurrences were extracted over agricultural land using land cover data provided by European Space Agency/Climate Change Initiative (ESA/CCI) at 300 m spatial resolution for 2000 to 2014. Results show that CO emissions have increased by 40% at an average annual rate of 2.7% from 1.16 Tg in 2000 to 1.63 Tg in 2014 and increase in emissions of CO2, CH4, NMVOCS, N2O, NH3, SO2, NOx, PM2.5, PM10, OC and BC ranged between 37%, to 63% during same period. Spatially, CO emissions were more significant in districts of Punjab and Sindh provinces with intensive agricultural activities as compared to other areas of Pakistan with highest emission grids located in Muzaffargarh, Jafferabad, and Noushahro Feroze districts. Crop residue burning exhibited similar trend with highest emissions in June followed by February and November over 15-year period. The emissions for most of the considered pollutants were comparable to the limited previous studies available. Finally, the study conducted provides better understanding regarding spatial and temporal patterns of crop residue burning across Pakistan and can be utilized for air quality modeling and management with higher accuracy.&quot;,&quot;publisher&quot;:&quot;Pergamon&quot;,&quot;volume&quot;:&quot;20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79FB1-D7D0-49A3-8AA3-755519C5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Pages>
  <Words>289</Words>
  <Characters>1636</Characters>
  <Application>Microsoft Office Word</Application>
  <DocSecurity>0</DocSecurity>
  <Lines>37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Arooba Javed</dc:creator>
  <cp:keywords/>
  <dc:description/>
  <cp:lastModifiedBy>Arooba Javed</cp:lastModifiedBy>
  <cp:revision>1</cp:revision>
  <dcterms:created xsi:type="dcterms:W3CDTF">2023-03-16T06:57:00Z</dcterms:created>
  <dcterms:modified xsi:type="dcterms:W3CDTF">2023-03-16T10:49:00Z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66148553-0bc2-4091-89c3-e7c463516d42</vt:lpwstr>
  </property>
</Properties>
</file>