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B35D4" w14:textId="77777777" w:rsidR="00256891" w:rsidRDefault="00000000">
      <w:pPr>
        <w:pStyle w:val="Heading1"/>
      </w:pPr>
      <w:bookmarkStart w:id="0" w:name="applicant-and-team-capability-to-deliver"/>
      <w:r>
        <w:t>APPLICANT AND TEAM CAPABILITY TO DELIVER</w:t>
      </w:r>
    </w:p>
    <w:p w14:paraId="578CAB07" w14:textId="77777777" w:rsidR="00256891" w:rsidRDefault="00000000">
      <w:pPr>
        <w:pStyle w:val="Heading2"/>
      </w:pPr>
      <w:bookmarkStart w:id="1" w:name="X32e351cedb78f5f8a6e0e35a5d9fd9e794cd399"/>
      <w:r>
        <w:t>Contributions to the Generation of New Ideas, Tools, Methodologies, or Knowledge</w:t>
      </w:r>
    </w:p>
    <w:p w14:paraId="4A8A2168" w14:textId="77777777" w:rsidR="00256891" w:rsidRDefault="00000000">
      <w:pPr>
        <w:pStyle w:val="FirstParagraph"/>
      </w:pPr>
      <w:r>
        <w:t>The Project Lead (PL), Dr Rowan Brown, is Senior Lecturer in Biomedical Engineering at Swansea University (MPhys, first class, 2000; PhD, 2004). For more than fifteen years the PL has developed data-driven methods that recover ensemble organisation from individual-agent measurements, from cellular populations and spatial biological networks to competitive multi-agent systems in professional sport. This Small Grant poses the same microstate-to-macrostate question for a 22-player point cloud using multi-scale persistent homology. The PL delivered a 12-month EPSRC First Grant (EP/M000621/1, £96,009) on ensemble behaviour, giving direct precedent for a time-boxed award at this scale.</w:t>
      </w:r>
    </w:p>
    <w:p w14:paraId="30306D5F" w14:textId="77777777" w:rsidR="00256891" w:rsidRDefault="00000000">
      <w:pPr>
        <w:pStyle w:val="BodyText"/>
      </w:pPr>
      <w:r>
        <w:rPr>
          <w:b/>
          <w:bCs/>
        </w:rPr>
        <w:t>Prior funded research (selected).</w:t>
      </w:r>
      <w:r>
        <w:t xml:space="preserve"> As PI: EPSRC Mobility Fellowship (EP/G037841/1); the First Grant above with GE Healthcare and Professor Tamás Vicsek; rugby head-load measurement (Sports and Wellbeing Analytics / Welsh Government, 2020/21); Swim Wales training-load analytics (2024/25). As Co-I: Office of Naval Research Global hetero-swarm robotics (2021/22); Welsh Institute of Performance Science; English Institute of Sport data-science applications. Investigator work on nanoparticle tracking (EP/H008683/1) and clot-network geometry (EP/L024799/1) established high-volume spatial time-series pipelines. First-author work in </w:t>
      </w:r>
      <w:r>
        <w:rPr>
          <w:i/>
          <w:iCs/>
        </w:rPr>
        <w:t>Physica D</w:t>
      </w:r>
      <w:r>
        <w:t xml:space="preserve"> (2010); collaborative outputs in </w:t>
      </w:r>
      <w:r>
        <w:rPr>
          <w:i/>
          <w:iCs/>
        </w:rPr>
        <w:t>Nature Nanotechnology</w:t>
      </w:r>
      <w:r>
        <w:t xml:space="preserve"> (2011), </w:t>
      </w:r>
      <w:r>
        <w:rPr>
          <w:i/>
          <w:iCs/>
        </w:rPr>
        <w:t>Nature Methods</w:t>
      </w:r>
      <w:r>
        <w:t xml:space="preserve"> (2014) and </w:t>
      </w:r>
      <w:r>
        <w:rPr>
          <w:i/>
          <w:iCs/>
        </w:rPr>
        <w:t>Nature Communications</w:t>
      </w:r>
      <w:r>
        <w:t xml:space="preserve"> (2019).</w:t>
      </w:r>
    </w:p>
    <w:p w14:paraId="4CE0A024" w14:textId="77777777" w:rsidR="00256891" w:rsidRDefault="00000000">
      <w:pPr>
        <w:pStyle w:val="BodyText"/>
      </w:pPr>
      <w:r>
        <w:rPr>
          <w:b/>
          <w:bCs/>
        </w:rPr>
        <w:t>Most relevant prior outputs (PL)</w:t>
      </w:r>
      <w:r>
        <w:t>:</w:t>
      </w:r>
    </w:p>
    <w:p w14:paraId="606C5B9E" w14:textId="77777777" w:rsidR="00256891" w:rsidRDefault="00000000">
      <w:pPr>
        <w:pStyle w:val="Compact"/>
        <w:numPr>
          <w:ilvl w:val="0"/>
          <w:numId w:val="2"/>
        </w:numPr>
      </w:pPr>
      <w:r>
        <w:t xml:space="preserve">Brown MR, et al. Flow-based cytometric analysis of cell cycle via simulated cell populations. </w:t>
      </w:r>
      <w:r>
        <w:rPr>
          <w:i/>
          <w:iCs/>
        </w:rPr>
        <w:t>PLoS Computational Biology</w:t>
      </w:r>
      <w:r>
        <w:t xml:space="preserve"> 2010 — ensemble models from individual measurements.</w:t>
      </w:r>
    </w:p>
    <w:p w14:paraId="3803B4BC" w14:textId="77777777" w:rsidR="00256891" w:rsidRDefault="00000000">
      <w:pPr>
        <w:pStyle w:val="Compact"/>
        <w:numPr>
          <w:ilvl w:val="0"/>
          <w:numId w:val="2"/>
        </w:numPr>
      </w:pPr>
      <w:r>
        <w:t xml:space="preserve">Brown MR, et al. Fractal discrimination of random fractal aggregates and its application in biomarker analysis for blood coagulation. </w:t>
      </w:r>
      <w:r>
        <w:rPr>
          <w:i/>
          <w:iCs/>
        </w:rPr>
        <w:t>Chaos, Solitons &amp; Fractals</w:t>
      </w:r>
      <w:r>
        <w:t xml:space="preserve"> 2012 — geometric spatial networks.</w:t>
      </w:r>
    </w:p>
    <w:p w14:paraId="01395F33" w14:textId="77777777" w:rsidR="00256891" w:rsidRDefault="00000000">
      <w:pPr>
        <w:pStyle w:val="Compact"/>
        <w:numPr>
          <w:ilvl w:val="0"/>
          <w:numId w:val="2"/>
        </w:numPr>
      </w:pPr>
      <w:r>
        <w:t>Brown R, Scott G, Kilduff L. Relative Advantage: quantifying performance in noisy competitive settings. Preprint 2025 — competitive systems as a measurement domain.</w:t>
      </w:r>
    </w:p>
    <w:p w14:paraId="1105E545" w14:textId="77777777" w:rsidR="00256891" w:rsidRDefault="00000000">
      <w:pPr>
        <w:pStyle w:val="FirstParagraph"/>
      </w:pPr>
      <w:r>
        <w:rPr>
          <w:b/>
          <w:bCs/>
        </w:rPr>
        <w:t>Technical innovations (this programme):</w:t>
      </w:r>
      <w:r>
        <w:t xml:space="preserve"> measurement-aware clustering for spatial TDA; adaptive multi-scale H1 filtration; closed-cycle H1 realisation; temporal persistence landscapes. The ten-match validation in Vision and Approach is PL-led foundation for this award; code and parameters feed the Month-2 gate. Python implementation (Ripser, GUDHI, giotto-tda) runs at &lt;2 s per frame on Supercomputing Wales; open-source release is planned.</w:t>
      </w:r>
    </w:p>
    <w:p w14:paraId="2A395552" w14:textId="77777777" w:rsidR="00256891" w:rsidRDefault="00000000">
      <w:pPr>
        <w:pStyle w:val="Heading2"/>
      </w:pPr>
      <w:bookmarkStart w:id="2" w:name="X25e3d77ae3827115ef735361f588f6af050200c"/>
      <w:bookmarkEnd w:id="1"/>
      <w:r>
        <w:lastRenderedPageBreak/>
        <w:t>Development of Others and Maintenance of Effective Working Relationships</w:t>
      </w:r>
    </w:p>
    <w:p w14:paraId="748AF42E" w14:textId="77777777" w:rsidR="00256891" w:rsidRDefault="00000000">
      <w:pPr>
        <w:pStyle w:val="FirstParagraph"/>
      </w:pPr>
      <w:r>
        <w:rPr>
          <w:b/>
          <w:bCs/>
        </w:rPr>
        <w:t>Doctoral supervision and partnerships:</w:t>
      </w:r>
      <w:r>
        <w:t xml:space="preserve"> The PL first-supervises six full-time doctoral students on Championship match-outcome analytics (EPSRC Doctoral Training Partnership with Swansea City AFC, club part-funded), UK Sports Institute (UKSI) analytics, spatiotemporal rugby and football analytics, swimming performance prediction, head-acceleration metrology, and Team INEOS digital twins; and second-supervises responsible AI in government security operations. The EPSRC–SCAFC co-investment is the funded precedent for this grant’s partnership; Declan O’Hara’s Championship match-outcome doctorate is the closest applied sibling to the season-scale topology pipeline. An EPSRC CASE studentship with Ospreys Rugby produced peer-reviewed outputs with club co-authorship. Graduates have moved into elite-sport analytics roles in professional rugby union and Premier League football.</w:t>
      </w:r>
    </w:p>
    <w:p w14:paraId="11C6728D" w14:textId="77777777" w:rsidR="00256891" w:rsidRDefault="00000000">
      <w:pPr>
        <w:pStyle w:val="BodyText"/>
      </w:pPr>
      <w:r>
        <w:rPr>
          <w:b/>
          <w:bCs/>
        </w:rPr>
        <w:t>Research Associate (RA) development:</w:t>
      </w:r>
      <w:r>
        <w:t xml:space="preserve"> The RA (1.0 FTE, Months 5–10) receives training in topological data analysis (TDA), inference under dependence, and scientific programming, with co-authorship, attendance at Algebraic Topology: Methods, Computation and Science (ATMCS 13, Stockholm; post starts 1 July during the meeting), and Standard Grant drafting exposure at Months 9–10. Weekly PL meetings, monthly reviews, and scheduled guidance from Project co-lead (PcL) Dr Nelly Villamizar (Mathematics) cover landscape well-posedness and stability for Objective 2 (O2).</w:t>
      </w:r>
    </w:p>
    <w:p w14:paraId="05254166" w14:textId="77777777" w:rsidR="00256891" w:rsidRDefault="00000000">
      <w:pPr>
        <w:pStyle w:val="BodyText"/>
      </w:pPr>
      <w:r>
        <w:rPr>
          <w:b/>
          <w:bCs/>
        </w:rPr>
        <w:t>RA deliverables (D1–D3):</w:t>
      </w:r>
      <w:r>
        <w:t xml:space="preserve"> </w:t>
      </w:r>
      <w:r>
        <w:rPr>
          <w:b/>
          <w:bCs/>
        </w:rPr>
        <w:t>D1 (Month 7):</w:t>
      </w:r>
      <w:r>
        <w:t xml:space="preserve"> reproducible H0 and H1 barcode store for ~540 Championship matches with provenance hashes (O1 gate). </w:t>
      </w:r>
      <w:r>
        <w:rPr>
          <w:b/>
          <w:bCs/>
        </w:rPr>
        <w:t>D2 (Month 8):</w:t>
      </w:r>
      <w:r>
        <w:t xml:space="preserve"> persistence landscapes, Fréchet means, and cumulative sum (CUSUM) module at both scales (O2); comparison-geometry results and T1/T2 statements follow at Month 9 against the Month-2 Open Science Framework (OSF) pre-registration. </w:t>
      </w:r>
      <w:r>
        <w:rPr>
          <w:b/>
          <w:bCs/>
        </w:rPr>
        <w:t>D3 (Month 10):</w:t>
      </w:r>
      <w:r>
        <w:t xml:space="preserve"> documented pipeline, figures and prose for the season paper and Month-12 Standard Grant evidence pack. Months 1–4 are PL-led (runnable pipeline and Month-2 gate) so D1–D3 are scale-up and proof work, not greenfield design.</w:t>
      </w:r>
    </w:p>
    <w:p w14:paraId="014AA60C" w14:textId="77777777" w:rsidR="00256891" w:rsidRDefault="00000000">
      <w:pPr>
        <w:pStyle w:val="BodyText"/>
      </w:pPr>
      <w:r>
        <w:rPr>
          <w:b/>
          <w:bCs/>
        </w:rPr>
        <w:t>Equality, diversity and inclusion:</w:t>
      </w:r>
      <w:r>
        <w:t xml:space="preserve"> RA recruitment follows Swansea EDI practice (anonymised shortlisting, diverse panel, outreach via Piscopia, BWM, London Mathematical Society (LMS)).</w:t>
      </w:r>
    </w:p>
    <w:p w14:paraId="27D0D27C" w14:textId="15789934" w:rsidR="00256891" w:rsidRDefault="00000000">
      <w:pPr>
        <w:pStyle w:val="BodyText"/>
      </w:pPr>
      <w:r>
        <w:rPr>
          <w:b/>
          <w:bCs/>
        </w:rPr>
        <w:t>Resources and delivery : staff total £96,918 fEC (£77,534 at 80%), 1 Mar 2027–29 Feb 2028: PL 0.10 FTE and PcL Villamizar 0.05 FTE (12 months); RA 1.0 FTE Months 5–10 (1 Jul–31 Dec 2027). Directly Incurred conference travel for the PL to ATMCS 13 (Stockholm) is costed at £2,150; £932 headroom under the £100k fEC cap is unused. Months 1–4 are PL-led; RA spend scales a gated pipeline (D1–D3). Supercomputing Wales and SCAFC–StatsBomb data are in-kind; no equipment.</w:t>
      </w:r>
      <w:proofErr w:type="gramStart"/>
      <w:r>
        <w:rPr>
          <w:b/>
          <w:bCs/>
        </w:rPr>
      </w:r>
      <w:proofErr w:type="gramEnd"/>
      <w:r/>
    </w:p>
    <w:p w14:paraId="11279466" w14:textId="7BADC34E" w:rsidR="00256891" w:rsidRDefault="00000000">
      <w:pPr>
        <w:pStyle w:val="BodyText"/>
      </w:pPr>
      <w:r>
        <w:rPr>
          <w:b/>
          <w:bCs/>
        </w:rPr>
        <w:t>Collaborative research:</w:t>
      </w:r>
      <w:r>
        <w:t xml:space="preserve"> Championship club partnerships (UK), Hudl (UK; owns StatsBomb), Borussia Dortmund (Germany, alumni pathway). Collaborators for the follow-</w:t>
      </w:r>
      <w:r>
        <w:lastRenderedPageBreak/>
        <w:t xml:space="preserve">on Standard Grant (stability of the shape summary to grouping choices, and one transfer test on </w:t>
      </w:r>
      <w:r w:rsidR="004E3586">
        <w:t xml:space="preserve">to </w:t>
      </w:r>
      <w:r>
        <w:t xml:space="preserve">a second </w:t>
      </w:r>
      <w:r w:rsidR="004E3586">
        <w:t xml:space="preserve">distinct </w:t>
      </w:r>
      <w:r>
        <w:t>bounded competitive system).</w:t>
      </w:r>
    </w:p>
    <w:p w14:paraId="3674D89F" w14:textId="77777777" w:rsidR="00256891" w:rsidRDefault="00000000">
      <w:pPr>
        <w:pStyle w:val="Heading2"/>
      </w:pPr>
      <w:bookmarkStart w:id="3" w:name="Xc95dc2617854933ef0a4eb019344fa473ffc344"/>
      <w:bookmarkEnd w:id="2"/>
      <w:r>
        <w:t>Contributions to the Wider Research and Innovation Community</w:t>
      </w:r>
    </w:p>
    <w:p w14:paraId="3BA71980" w14:textId="77777777" w:rsidR="00256891" w:rsidRDefault="00000000">
      <w:pPr>
        <w:pStyle w:val="FirstParagraph"/>
      </w:pPr>
      <w:r>
        <w:rPr>
          <w:b/>
          <w:bCs/>
        </w:rPr>
        <w:t>Academic and open science:</w:t>
      </w:r>
      <w:r>
        <w:t xml:space="preserve"> Methodological publications, presentation at ATMCS 13 (KTH Stockholm, June–July 2027), and open-source TDA software. Supervised work includes peer-reviewed rugby analytics (</w:t>
      </w:r>
      <w:r>
        <w:rPr>
          <w:i/>
          <w:iCs/>
        </w:rPr>
        <w:t>Journal of Science and Medicine in Sport</w:t>
      </w:r>
      <w:r>
        <w:t xml:space="preserve"> and </w:t>
      </w:r>
      <w:r>
        <w:rPr>
          <w:i/>
          <w:iCs/>
        </w:rPr>
        <w:t>International Journal of Sports Physiology and Performance</w:t>
      </w:r>
      <w:r>
        <w:t>, 2023).</w:t>
      </w:r>
    </w:p>
    <w:p w14:paraId="148A1B78" w14:textId="77777777" w:rsidR="00256891" w:rsidRDefault="00000000">
      <w:pPr>
        <w:pStyle w:val="BodyText"/>
      </w:pPr>
      <w:r>
        <w:rPr>
          <w:b/>
          <w:bCs/>
        </w:rPr>
        <w:t>Innovation partnerships:</w:t>
      </w:r>
      <w:r>
        <w:t xml:space="preserve"> Swansea City AFC, UKSI, Sport Wales (WIPS), Team INEOS, and the hetero-swarm programme evidence multi-agent work beyond football.</w:t>
      </w:r>
    </w:p>
    <w:p w14:paraId="114C8783" w14:textId="77777777" w:rsidR="00256891" w:rsidRDefault="00000000">
      <w:pPr>
        <w:pStyle w:val="BodyText"/>
      </w:pPr>
      <w:r>
        <w:rPr>
          <w:b/>
          <w:bCs/>
        </w:rPr>
        <w:t>Cross-domain relevance:</w:t>
      </w:r>
      <w:r>
        <w:t xml:space="preserve"> The lens transfers to other bounded competitive systems once interaction lengths are re-derived. The follow-on Standard Grant tests whether the measured shape survives grouping and distance choices, then repeats those checks in one further setting. Public engagement uses topology visualisations through sport.</w:t>
      </w:r>
    </w:p>
    <w:p w14:paraId="3FF779EB" w14:textId="77777777" w:rsidR="00256891" w:rsidRDefault="00000000">
      <w:pPr>
        <w:pStyle w:val="Heading2"/>
      </w:pPr>
      <w:bookmarkStart w:id="4" w:name="X60db1665fdeb508261722f70ab294558b25a380"/>
      <w:bookmarkEnd w:id="3"/>
      <w:r>
        <w:t>Contributions to Broader Research or Innovation Users and Towards Wider Societal Benefit</w:t>
      </w:r>
    </w:p>
    <w:p w14:paraId="140CF13C" w14:textId="77777777" w:rsidR="00256891" w:rsidRDefault="00000000">
      <w:pPr>
        <w:pStyle w:val="FirstParagraph"/>
      </w:pPr>
      <w:r>
        <w:rPr>
          <w:b/>
          <w:bCs/>
        </w:rPr>
        <w:t>Mathematical sciences:</w:t>
      </w:r>
      <w:r>
        <w:t xml:space="preserve"> Validated multi-scale workflows, efficient season-scale computation, and teaching materials. Hosted in the Zienkiewicz Institute with Supercomputing Wales and secure storage.</w:t>
      </w:r>
    </w:p>
    <w:p w14:paraId="4F8F3B80" w14:textId="77777777" w:rsidR="00256891" w:rsidRDefault="00000000">
      <w:pPr>
        <w:pStyle w:val="BodyText"/>
      </w:pPr>
      <w:r>
        <w:rPr>
          <w:b/>
          <w:bCs/>
        </w:rPr>
        <w:t>Broader users and societal benefit:</w:t>
      </w:r>
      <w:r>
        <w:t xml:space="preserve"> Wider users include organisations seeking coordination metrics in multi-agent settings (robotics, logistics, crowd safety). Societal benefits include safer crowded-space management, sports-analytics economic value, and public inspiration through accessible mathematics. The PL previously translated incipient-clot fractal dimension into a clinically interpretable venous thromboembolism biomarker. That translation is direct precedent for practitioner-facing topological summaries on this award, co-developed with Swansea City AFC and StatsBomb.</w:t>
      </w:r>
      <w:bookmarkEnd w:id="0"/>
      <w:bookmarkEnd w:id="4"/>
    </w:p>
    <w:sectPr w:rsidR="002568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8C8E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2AA8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5312910">
    <w:abstractNumId w:val="0"/>
  </w:num>
  <w:num w:numId="2" w16cid:durableId="13046556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6891"/>
    <w:rsid w:val="00256891"/>
    <w:rsid w:val="004E3586"/>
    <w:rsid w:val="00DE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08121"/>
  <w15:docId w15:val="{E833390C-31B4-D142-8409-4BAD2687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Rowan Brown</cp:lastModifiedBy>
  <cp:revision>2</cp:revision>
  <dcterms:created xsi:type="dcterms:W3CDTF">2026-10-16T16:27:00Z</dcterms:created>
  <dcterms:modified xsi:type="dcterms:W3CDTF">2026-10-18T14:02:00Z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