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resources-and-costs"/>
    <w:p>
      <w:pPr>
        <w:pStyle w:val="Heading1"/>
      </w:pPr>
      <w:r>
        <w:t xml:space="preserve">RESOURCES AND COSTS</w:t>
      </w:r>
    </w:p>
    <w:p>
      <w:pPr>
        <w:pStyle w:val="FirstParagraph"/>
      </w:pPr>
      <w:r>
        <w:t xml:space="preserve">Pound figures follow</w:t>
      </w:r>
      <w:r>
        <w:t xml:space="preserve"> </w:t>
      </w:r>
      <w:r>
        <w:rPr>
          <w:b/>
          <w:bCs/>
        </w:rPr>
        <w:t xml:space="preserve">final Finance lock</w:t>
      </w:r>
      <w:r>
        <w:t xml:space="preserve"> </w:t>
      </w:r>
      <w:r>
        <w:rPr>
          <w:rStyle w:val="VerbatimChar"/>
        </w:rPr>
        <w:t xml:space="preserve">Costs/IPA_799_v2_final_lock.md</w:t>
      </w:r>
      <w:r>
        <w:t xml:space="preserve"> </w:t>
      </w:r>
      <w:r>
        <w:t xml:space="preserve">and workbook</w:t>
      </w:r>
      <w:r>
        <w:t xml:space="preserve"> </w:t>
      </w:r>
      <w:r>
        <w:rPr>
          <w:rStyle w:val="VerbatimChar"/>
          <w:b/>
          <w:bCs/>
        </w:rPr>
        <w:t xml:space="preserve">Costs/Budget 02 10 26 IPA 799 v2.xlsx</w:t>
      </w:r>
      <w:r>
        <w:t xml:space="preserve">.</w:t>
      </w:r>
      <w:r>
        <w:t xml:space="preserve"> </w:t>
      </w:r>
      <w:r>
        <w:rPr>
          <w:b/>
          <w:bCs/>
        </w:rPr>
        <w:t xml:space="preserve">Total fEC:</w:t>
      </w:r>
      <w:r>
        <w:t xml:space="preserve"> </w:t>
      </w:r>
      <w:r>
        <w:rPr>
          <w:b/>
          <w:bCs/>
        </w:rPr>
        <w:t xml:space="preserve">£95,188</w:t>
      </w:r>
      <w:r>
        <w:t xml:space="preserve"> </w:t>
      </w:r>
      <w:r>
        <w:t xml:space="preserve">(EPSRC 80%</w:t>
      </w:r>
      <w:r>
        <w:t xml:space="preserve"> </w:t>
      </w:r>
      <w:r>
        <w:rPr>
          <w:b/>
          <w:bCs/>
        </w:rPr>
        <w:t xml:space="preserve">£76,150</w:t>
      </w:r>
      <w:r>
        <w:t xml:space="preserve">). Headroom</w:t>
      </w:r>
      <w:r>
        <w:t xml:space="preserve"> </w:t>
      </w:r>
      <w:r>
        <w:rPr>
          <w:b/>
          <w:bCs/>
        </w:rPr>
        <w:t xml:space="preserve">£4,812</w:t>
      </w:r>
      <w:r>
        <w:t xml:space="preserve"> </w:t>
      </w:r>
      <w:r>
        <w:t xml:space="preserve">fEC before the £100k cap.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Effort</w:t>
            </w:r>
          </w:p>
        </w:tc>
        <w:tc>
          <w:tcPr/>
          <w:p>
            <w:pPr>
              <w:pStyle w:val="Compact"/>
            </w:pPr>
            <w:r>
              <w:t xml:space="preserve">Project window</w:t>
            </w:r>
          </w:p>
        </w:tc>
        <w:tc>
          <w:tcPr/>
          <w:p>
            <w:pPr>
              <w:pStyle w:val="Compact"/>
            </w:pPr>
            <w:r>
              <w:t xml:space="preserve">JeS dates (IPA 799 v2)</w:t>
            </w:r>
          </w:p>
        </w:tc>
        <w:tc>
          <w:tcPr/>
          <w:p>
            <w:pPr>
              <w:pStyle w:val="Compact"/>
            </w:pPr>
            <w:r>
              <w:t xml:space="preserve">100% fEC</w:t>
            </w:r>
          </w:p>
        </w:tc>
      </w:tr>
      <w:tr>
        <w:tc>
          <w:tcPr/>
          <w:p>
            <w:pPr>
              <w:pStyle w:val="Compact"/>
            </w:pPr>
            <w:r>
              <w:t xml:space="preserve">PL, Dr Rowan Brown</w:t>
            </w:r>
          </w:p>
        </w:tc>
        <w:tc>
          <w:tcPr/>
          <w:p>
            <w:pPr>
              <w:pStyle w:val="Compact"/>
            </w:pPr>
            <w:r>
              <w:rPr>
                <w:b/>
                <w:bCs/>
              </w:rPr>
              <w:t xml:space="preserve">0.10 FTE</w:t>
            </w:r>
            <w:r>
              <w:t xml:space="preserve"> </w:t>
            </w:r>
            <w:r>
              <w:t xml:space="preserve">(~4 h/week)</w:t>
            </w:r>
          </w:p>
        </w:tc>
        <w:tc>
          <w:tcPr/>
          <w:p>
            <w:pPr>
              <w:pStyle w:val="Compact"/>
            </w:pPr>
            <w:r>
              <w:t xml:space="preserve">Months 1–12</w:t>
            </w:r>
          </w:p>
        </w:tc>
        <w:tc>
          <w:tcPr/>
          <w:p>
            <w:pPr>
              <w:pStyle w:val="Compact"/>
            </w:pPr>
            <w:r>
              <w:t xml:space="preserve">1 Mar 2027–29 Feb 2028</w:t>
            </w:r>
          </w:p>
        </w:tc>
        <w:tc>
          <w:tcPr/>
          <w:p>
            <w:pPr>
              <w:pStyle w:val="Compact"/>
            </w:pPr>
            <w:r>
              <w:t xml:space="preserve">£17,664</w:t>
            </w:r>
          </w:p>
        </w:tc>
      </w:tr>
      <w:tr>
        <w:tc>
          <w:tcPr/>
          <w:p>
            <w:pPr>
              <w:pStyle w:val="Compact"/>
            </w:pPr>
            <w:r>
              <w:t xml:space="preserve">Research Associate (Grade 7, SP30)</w:t>
            </w:r>
          </w:p>
        </w:tc>
        <w:tc>
          <w:tcPr/>
          <w:p>
            <w:pPr>
              <w:pStyle w:val="Compact"/>
            </w:pPr>
            <w:r>
              <w:t xml:space="preserve">1.0 FTE</w:t>
            </w:r>
          </w:p>
        </w:tc>
        <w:tc>
          <w:tcPr/>
          <w:p>
            <w:pPr>
              <w:pStyle w:val="Compact"/>
            </w:pPr>
            <w:r>
              <w:t xml:space="preserve">Months</w:t>
            </w:r>
            <w:r>
              <w:t xml:space="preserve"> </w:t>
            </w:r>
            <w:r>
              <w:rPr>
                <w:b/>
                <w:bCs/>
              </w:rPr>
              <w:t xml:space="preserve">5–10</w:t>
            </w:r>
            <w:r>
              <w:t xml:space="preserve"> </w:t>
            </w:r>
            <w:r>
              <w:t xml:space="preserve">(6 months)</w:t>
            </w:r>
          </w:p>
        </w:tc>
        <w:tc>
          <w:tcPr/>
          <w:p>
            <w:pPr>
              <w:pStyle w:val="Compact"/>
            </w:pPr>
            <w:r>
              <w:t xml:space="preserve">1 Jul 2027–31 Dec 2027</w:t>
            </w:r>
          </w:p>
        </w:tc>
        <w:tc>
          <w:tcPr/>
          <w:p>
            <w:pPr>
              <w:pStyle w:val="Compact"/>
            </w:pPr>
            <w:r>
              <w:t xml:space="preserve">£69,662</w:t>
            </w:r>
          </w:p>
        </w:tc>
      </w:tr>
      <w:tr>
        <w:tc>
          <w:tcPr/>
          <w:p>
            <w:pPr>
              <w:pStyle w:val="Compact"/>
            </w:pPr>
            <w:r>
              <w:t xml:space="preserve">PcL, Dr Nelly Villamizar (Mathematics)</w:t>
            </w:r>
          </w:p>
        </w:tc>
        <w:tc>
          <w:tcPr/>
          <w:p>
            <w:pPr>
              <w:pStyle w:val="Compact"/>
            </w:pPr>
            <w:r>
              <w:rPr>
                <w:b/>
                <w:bCs/>
              </w:rPr>
              <w:t xml:space="preserve">0.05 FTE</w:t>
            </w:r>
            <w:r>
              <w:t xml:space="preserve"> </w:t>
            </w:r>
            <w:r>
              <w:t xml:space="preserve">(~2 h/week)</w:t>
            </w:r>
          </w:p>
        </w:tc>
        <w:tc>
          <w:tcPr/>
          <w:p>
            <w:pPr>
              <w:pStyle w:val="Compact"/>
            </w:pPr>
            <w:r>
              <w:t xml:space="preserve">Months 1–12; peak O2 Months 5–10</w:t>
            </w:r>
          </w:p>
        </w:tc>
        <w:tc>
          <w:tcPr/>
          <w:p>
            <w:pPr>
              <w:pStyle w:val="Compact"/>
            </w:pPr>
            <w:r>
              <w:t xml:space="preserve">1 Mar 2027–29 Feb 2028</w:t>
            </w:r>
          </w:p>
        </w:tc>
        <w:tc>
          <w:tcPr/>
          <w:p>
            <w:pPr>
              <w:pStyle w:val="Compact"/>
            </w:pPr>
            <w:r>
              <w:t xml:space="preserve">£7,862</w:t>
            </w:r>
          </w:p>
        </w:tc>
      </w:tr>
    </w:tbl>
    <w:p>
      <w:pPr>
        <w:pStyle w:val="BodyText"/>
      </w:pPr>
      <w:r>
        <w:t xml:space="preserve">Kilduff and Powathil are</w:t>
      </w:r>
      <w:r>
        <w:t xml:space="preserve"> </w:t>
      </w:r>
      <w:r>
        <w:rPr>
          <w:b/>
          <w:bCs/>
        </w:rPr>
        <w:t xml:space="preserve">not</w:t>
      </w:r>
      <w:r>
        <w:t xml:space="preserve"> </w:t>
      </w:r>
      <w:r>
        <w:t xml:space="preserve">costed. No equipment line. Open-access publication costs: UKRI block grant.</w:t>
      </w:r>
    </w:p>
    <w:p>
      <w:r>
        <w:pict>
          <v:rect style="width:0;height:1.5pt" o:hralign="center" o:hrstd="t" o:hr="t"/>
        </w:pict>
      </w:r>
    </w:p>
    <w:bookmarkStart w:id="9" w:name="overview-and-resourcing-strategy"/>
    <w:p>
      <w:pPr>
        <w:pStyle w:val="Heading2"/>
      </w:pPr>
      <w:r>
        <w:t xml:space="preserve">Overview and resourcing strategy</w:t>
      </w:r>
    </w:p>
    <w:p>
      <w:pPr>
        <w:pStyle w:val="FirstParagraph"/>
      </w:pPr>
      <w:r>
        <w:t xml:space="preserve">This application asks for the minimum staff needed to analyse a full Championship football season over 12 months (1 March 2027–29 February 2028). The £95,188 Full Economic Cost (fEC; EPSRC 80% £76,150) is almost entirely staff. There is no equipment line, no travel claim, no exceptional consumables, and no costs under Exceptions. Supercomputing Wales, secure storage and meeting space are already available and are not charged to the award. Open-source software removes licence fees. Partnership data from Swansea City Association Football Club (SCAFC) are supplied in kind.</w:t>
      </w:r>
    </w:p>
    <w:bookmarkEnd w:id="9"/>
    <w:bookmarkStart w:id="10" w:name="project-staff"/>
    <w:p>
      <w:pPr>
        <w:pStyle w:val="Heading2"/>
      </w:pPr>
      <w:r>
        <w:t xml:space="preserve">Project staff</w:t>
      </w:r>
    </w:p>
    <w:p>
      <w:pPr>
        <w:pStyle w:val="FirstParagraph"/>
      </w:pPr>
      <w:r>
        <w:t xml:space="preserve">Staff are the only material cost, and each role is sized to a clear job.</w:t>
      </w:r>
    </w:p>
    <w:p>
      <w:pPr>
        <w:pStyle w:val="BodyText"/>
      </w:pPr>
      <w:r>
        <w:rPr>
          <w:b/>
          <w:bCs/>
        </w:rPr>
        <w:t xml:space="preserve">Research Associate (RA; 1.0 FTE, Months 5–10; 1 July–31 December 2027; £69,662 at 100% fEC).</w:t>
      </w:r>
      <w:r>
        <w:t xml:space="preserve"> </w:t>
      </w:r>
      <w:r>
        <w:t xml:space="preserve">This is the main cost. A full Championship season is about 540 matches. Running and documenting that analysis is a specialist programming job: Python, parallel processing, and topological data analysis (TDA) libraries. A six-month, full-time post is the least that can deliver the season once the method is ready, and the most the £100k fEC envelope allows with the PL and PcL lines below. Months 1–4 are led by the Project Lead (PL), so the RA joins a ready, checked pipeline rather than designing it. The RA runs the season-scale computation, builds the analysis library, and hands over documented code and figures at Month 10. After that, Months 11–12 are PL-owned. Hiring this skill in-house avoids external contractors.</w:t>
      </w:r>
    </w:p>
    <w:p>
      <w:pPr>
        <w:pStyle w:val="BodyText"/>
      </w:pPr>
      <w:r>
        <w:rPr>
          <w:b/>
          <w:bCs/>
        </w:rPr>
        <w:t xml:space="preserve">Project Lead, Dr Rowan Brown (0.10 FTE, Months 1–12; about four hours per week; £17,664 at 100% fEC).</w:t>
      </w:r>
      <w:r>
        <w:t xml:space="preserve"> </w:t>
      </w:r>
      <w:r>
        <w:t xml:space="preserve">The PL designs the study, checks quality gates, proves the mathematical results, writes the papers, and manages the club partnership. This is leadership and integration, not day-to-day season processing. Four hours per week is enough because a ten-match pilot already supplies the methods, code and decision rules. The heavier periods are Months 1–4 (prepare and check the pipeline before the RA starts) and Months 9–12 (results, papers, and the evidence pack for a follow-on Standard Grant). The PL also recruits, supervises and trains the RA.</w:t>
      </w:r>
    </w:p>
    <w:p>
      <w:pPr>
        <w:pStyle w:val="BodyText"/>
      </w:pPr>
      <w:r>
        <w:rPr>
          <w:b/>
          <w:bCs/>
        </w:rPr>
        <w:t xml:space="preserve">Project co-lead, Dr Nelly Villamizar, Mathematics (0.05 FTE, Months 1–12; about two hours per week; £7,862 at 100% fEC).</w:t>
      </w:r>
      <w:r>
        <w:t xml:space="preserve"> </w:t>
      </w:r>
      <w:r>
        <w:t xml:space="preserve">The PcL gives algebraic and mathematical advice on the harder theoretical claims, mainly while the RA is in post (Months 5–10). This is review and guidance, not coding. Two hours per week is enough for that advice and for structured input to the RA’s training. No other co-leads are costed.</w:t>
      </w:r>
    </w:p>
    <w:bookmarkEnd w:id="10"/>
    <w:bookmarkStart w:id="11" w:name="facilities-and-infrastructure"/>
    <w:p>
      <w:pPr>
        <w:pStyle w:val="Heading2"/>
      </w:pPr>
      <w:r>
        <w:t xml:space="preserve">Facilities and infrastructure</w:t>
      </w:r>
    </w:p>
    <w:p>
      <w:pPr>
        <w:pStyle w:val="FirstParagraph"/>
      </w:pPr>
      <w:r>
        <w:t xml:space="preserve">No facilities or infrastructure are purchased on this award. Season-scale runs use about 1,600 of the PL’s existing 5,000 Supercomputing Wales CPU-hours. Secure storage (about 100 TB) and estates meeting space are institutional and in-kind. Technician support for cluster setup is covered through standard estates and infrastructure charging on the staff lines, not as a separate purchase. There are no new computers, no software licences, and no paid external cluster time.</w:t>
      </w:r>
    </w:p>
    <w:bookmarkEnd w:id="11"/>
    <w:bookmarkStart w:id="12" w:name="other-cost-categories"/>
    <w:p>
      <w:pPr>
        <w:pStyle w:val="Heading2"/>
      </w:pPr>
      <w:r>
        <w:t xml:space="preserve">Other cost categories</w:t>
      </w:r>
    </w:p>
    <w:p>
      <w:pPr>
        <w:pStyle w:val="FirstParagraph"/>
      </w:pPr>
      <w:r>
        <w:rPr>
          <w:b/>
          <w:bCs/>
        </w:rPr>
        <w:t xml:space="preserve">Travel.</w:t>
      </w:r>
      <w:r>
        <w:t xml:space="preserve"> </w:t>
      </w:r>
      <w:r>
        <w:t xml:space="preserve">None requested beyond ordinary local collaboration. There is no fieldwork and no conference travel on this award.</w:t>
      </w:r>
    </w:p>
    <w:p>
      <w:pPr>
        <w:pStyle w:val="BodyText"/>
      </w:pPr>
      <w:r>
        <w:rPr>
          <w:b/>
          <w:bCs/>
        </w:rPr>
        <w:t xml:space="preserve">Consumables.</w:t>
      </w:r>
      <w:r>
        <w:t xml:space="preserve"> </w:t>
      </w:r>
      <w:r>
        <w:t xml:space="preserve">None beyond ordinary office and computing use. No exceptional quantities.</w:t>
      </w:r>
    </w:p>
    <w:p>
      <w:pPr>
        <w:pStyle w:val="BodyText"/>
      </w:pPr>
      <w:r>
        <w:rPr>
          <w:b/>
          <w:bCs/>
        </w:rPr>
        <w:t xml:space="preserve">Exceptions.</w:t>
      </w:r>
      <w:r>
        <w:t xml:space="preserve"> </w:t>
      </w:r>
      <w:r>
        <w:t xml:space="preserve">None.</w:t>
      </w:r>
    </w:p>
    <w:bookmarkEnd w:id="12"/>
    <w:bookmarkStart w:id="13" w:name="delivery-plan"/>
    <w:p>
      <w:pPr>
        <w:pStyle w:val="Heading2"/>
      </w:pPr>
      <w:r>
        <w:t xml:space="preserve">Delivery plan</w:t>
      </w:r>
    </w:p>
    <w:p>
      <w:pPr>
        <w:pStyle w:val="FirstParagraph"/>
      </w:pPr>
      <w:r>
        <w:rPr>
          <w:b/>
          <w:bCs/>
        </w:rPr>
        <w:t xml:space="preserve">Months 1–4 (PL).</w:t>
      </w:r>
      <w:r>
        <w:t xml:space="preserve"> </w:t>
      </w:r>
      <w:r>
        <w:t xml:space="preserve">Prepare and check the analysis pipeline; register the analysis plan; specify the RA’s work so that scale-up starts from a known baseline.</w:t>
      </w:r>
    </w:p>
    <w:p>
      <w:pPr>
        <w:pStyle w:val="BodyText"/>
      </w:pPr>
      <w:r>
        <w:rPr>
          <w:b/>
          <w:bCs/>
        </w:rPr>
        <w:t xml:space="preserve">Months 5–10 (RA full-time; PL oversight; PcL advice).</w:t>
      </w:r>
      <w:r>
        <w:t xml:space="preserve"> </w:t>
      </w:r>
      <w:r>
        <w:t xml:space="preserve">Process the season, build the analysis software, and deliver a documented handover at Month 10. Drafting for a follow-on Standard Grant begins in Months 9–10 with RA input.</w:t>
      </w:r>
    </w:p>
    <w:p>
      <w:pPr>
        <w:pStyle w:val="BodyText"/>
      </w:pPr>
      <w:r>
        <w:rPr>
          <w:b/>
          <w:bCs/>
        </w:rPr>
        <w:t xml:space="preserve">Months 11–12 (PL).</w:t>
      </w:r>
      <w:r>
        <w:t xml:space="preserve"> </w:t>
      </w:r>
      <w:r>
        <w:t xml:space="preserve">Complete papers, release open code with a digital object identifier (DOI), deliver club-facing outputs, and finish the Month-12 evidence pack.</w:t>
      </w:r>
    </w:p>
    <w:p>
      <w:pPr>
        <w:pStyle w:val="BodyText"/>
      </w:pPr>
      <w:r>
        <w:t xml:space="preserve">This plan puts the expensive compute work inside the RA appointment, keeps leadership and writing with the PL, and reduces risk by checking the pipeline before the RA starts.</w:t>
      </w:r>
    </w:p>
    <w:bookmarkEnd w:id="13"/>
    <w:bookmarkStart w:id="14" w:name="impact-and-value"/>
    <w:p>
      <w:pPr>
        <w:pStyle w:val="Heading2"/>
      </w:pPr>
      <w:r>
        <w:t xml:space="preserve">Impact and value</w:t>
      </w:r>
    </w:p>
    <w:p>
      <w:pPr>
        <w:pStyle w:val="FirstParagraph"/>
      </w:pPr>
      <w:r>
        <w:t xml:space="preserve">The award buys specialist staff time and uses facilities the university already has. Outputs are a checked analysis method, open code, full-season results, and club-usable summaries. In-kind high-performance computing, storage and SCAFC data avoid capital and data-purchase costs. RA involvement in writing and Standard Grant drafting supports career development. Together, these resources give the largest publishable return within the Small Grant envelope and prepare a follow-on Standard Grant.</w:t>
      </w:r>
    </w:p>
    <w:bookmarkEnd w:id="14"/>
    <w:bookmarkStart w:id="15" w:name="what-this-costing-must-not-say"/>
    <w:p>
      <w:pPr>
        <w:pStyle w:val="Heading2"/>
      </w:pPr>
      <w:r>
        <w:t xml:space="preserve">What this costing must not say</w:t>
      </w:r>
    </w:p>
    <w:p>
      <w:pPr>
        <w:pStyle w:val="Compact"/>
        <w:numPr>
          <w:ilvl w:val="0"/>
          <w:numId w:val="1001"/>
        </w:numPr>
      </w:pPr>
      <w:r>
        <w:t xml:space="preserve">RA Months 2–10 / 9 months / Months 4–9 (lock is</w:t>
      </w:r>
      <w:r>
        <w:t xml:space="preserve"> </w:t>
      </w:r>
      <w:r>
        <w:rPr>
          <w:b/>
          <w:bCs/>
        </w:rPr>
        <w:t xml:space="preserve">Months 5–10</w:t>
      </w:r>
      <w:r>
        <w:t xml:space="preserve">, 6 months).</w:t>
      </w:r>
    </w:p>
    <w:p>
      <w:pPr>
        <w:pStyle w:val="Compact"/>
        <w:numPr>
          <w:ilvl w:val="0"/>
          <w:numId w:val="1001"/>
        </w:numPr>
      </w:pPr>
      <w:r>
        <w:t xml:space="preserve">PL / PI 0.2 FTE or 165 hours as a separate claim (lock is</w:t>
      </w:r>
      <w:r>
        <w:t xml:space="preserve"> </w:t>
      </w:r>
      <w:r>
        <w:rPr>
          <w:b/>
          <w:bCs/>
        </w:rPr>
        <w:t xml:space="preserve">0.10 FTE</w:t>
      </w:r>
      <w:r>
        <w:t xml:space="preserve">).</w:t>
      </w:r>
    </w:p>
    <w:p>
      <w:pPr>
        <w:pStyle w:val="Compact"/>
        <w:numPr>
          <w:ilvl w:val="0"/>
          <w:numId w:val="1001"/>
        </w:numPr>
      </w:pPr>
      <w:r>
        <w:t xml:space="preserve">Co-Is Kilduff and/or Powathil on JeS staff lines.</w:t>
      </w:r>
    </w:p>
    <w:p>
      <w:pPr>
        <w:pStyle w:val="Compact"/>
        <w:numPr>
          <w:ilvl w:val="0"/>
          <w:numId w:val="1001"/>
        </w:numPr>
      </w:pPr>
      <w:r>
        <w:t xml:space="preserve">Two Co-Is at 33 hours each (lock is sole PcL</w:t>
      </w:r>
      <w:r>
        <w:t xml:space="preserve"> </w:t>
      </w:r>
      <w:r>
        <w:rPr>
          <w:b/>
          <w:bCs/>
        </w:rPr>
        <w:t xml:space="preserve">Villamizar 0.05 FTE</w:t>
      </w:r>
      <w:r>
        <w:t xml:space="preserve">).</w:t>
      </w:r>
    </w:p>
    <w:p>
      <w:pPr>
        <w:pStyle w:val="Compact"/>
        <w:numPr>
          <w:ilvl w:val="0"/>
          <w:numId w:val="1001"/>
        </w:numPr>
      </w:pPr>
      <w:r>
        <w:t xml:space="preserve">Total fEC £95,233 (lock is</w:t>
      </w:r>
      <w:r>
        <w:t xml:space="preserve"> </w:t>
      </w:r>
      <w:r>
        <w:rPr>
          <w:b/>
          <w:bCs/>
        </w:rPr>
        <w:t xml:space="preserve">£95,188</w:t>
      </w:r>
      <w:r>
        <w:t xml:space="preserve">).</w:t>
      </w:r>
    </w:p>
    <w:p>
      <w:pPr>
        <w:pStyle w:val="Compact"/>
        <w:numPr>
          <w:ilvl w:val="0"/>
          <w:numId w:val="1001"/>
        </w:numPr>
      </w:pPr>
      <w:r>
        <w:t xml:space="preserve">MATLAB licences, paid cluster time, or a 10–15 match compute budget.</w:t>
      </w:r>
    </w:p>
    <w:p>
      <w:pPr>
        <w:pStyle w:val="Compact"/>
        <w:numPr>
          <w:ilvl w:val="0"/>
          <w:numId w:val="1001"/>
        </w:numPr>
      </w:pPr>
      <w:r>
        <w:t xml:space="preserve">T1/T2 statements Month 9 and calibration Month 10 as separate gates (both at Month 9).</w:t>
      </w:r>
    </w:p>
    <w:p>
      <w:pPr>
        <w:pStyle w:val="Compact"/>
        <w:numPr>
          <w:ilvl w:val="0"/>
          <w:numId w:val="1001"/>
        </w:numPr>
      </w:pPr>
      <w:r>
        <w:t xml:space="preserve">RA ownership of the Month-12 Standard Grant pack.</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2026-10-16T12:42:09Z</dcterms:created>
  <dcterms:modified xsi:type="dcterms:W3CDTF">2026-10-16T12:42:09Z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