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8E35F" w14:textId="77777777" w:rsidR="004E6F74" w:rsidRPr="004E6F74" w:rsidRDefault="004E6F74" w:rsidP="004E6F74">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E6F74">
        <w:rPr>
          <w:rFonts w:ascii="Segoe UI" w:eastAsia="Times New Roman" w:hAnsi="Segoe UI" w:cs="Segoe UI"/>
          <w:b/>
          <w:bCs/>
          <w:color w:val="000000"/>
          <w:kern w:val="0"/>
          <w:sz w:val="21"/>
          <w:szCs w:val="21"/>
          <w:lang w:eastAsia="en-GB"/>
          <w14:ligatures w14:val="none"/>
        </w:rPr>
        <w:t>Overview and resourcing strategy</w:t>
      </w:r>
      <w:r w:rsidRPr="004E6F74">
        <w:rPr>
          <w:rFonts w:ascii="Segoe UI" w:eastAsia="Times New Roman" w:hAnsi="Segoe UI" w:cs="Segoe UI"/>
          <w:color w:val="000000"/>
          <w:kern w:val="0"/>
          <w:sz w:val="21"/>
          <w:szCs w:val="21"/>
          <w:lang w:eastAsia="en-GB"/>
          <w14:ligatures w14:val="none"/>
        </w:rPr>
        <w:br/>
        <w:t>This application requests the minimum resources to deliver four objectives over 12 months. The £95,233 Full Economic Cost (EPSRC 80%) prioritises specialist staff and institutional infrastructure for full-season analysis of professional football match data using Topological Data Analysis (TDA). Costs focus on a six-month Research Associate (RA) for large-scale data processing and methods implementation; Principal Investigator (PI) time for leadership and coordination; targeted Co-Investigator (Co-I) input for domain expertise; and access to HPC, secure storage, and meeting spaces. No new equipment is required; the project leverages open-source libraries and existing facilities for excellent value and timely delivery.</w:t>
      </w:r>
    </w:p>
    <w:p w14:paraId="6D877525" w14:textId="77777777" w:rsidR="004E6F74" w:rsidRPr="004E6F74" w:rsidRDefault="004E6F74" w:rsidP="004E6F74">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E6F74">
        <w:rPr>
          <w:rFonts w:ascii="Segoe UI" w:eastAsia="Times New Roman" w:hAnsi="Segoe UI" w:cs="Segoe UI"/>
          <w:b/>
          <w:bCs/>
          <w:color w:val="000000"/>
          <w:kern w:val="0"/>
          <w:sz w:val="21"/>
          <w:szCs w:val="21"/>
          <w:lang w:eastAsia="en-GB"/>
          <w14:ligatures w14:val="none"/>
        </w:rPr>
        <w:t>Project staff</w:t>
      </w:r>
      <w:r w:rsidRPr="004E6F74">
        <w:rPr>
          <w:rFonts w:ascii="Segoe UI" w:eastAsia="Times New Roman" w:hAnsi="Segoe UI" w:cs="Segoe UI"/>
          <w:color w:val="000000"/>
          <w:kern w:val="0"/>
          <w:sz w:val="21"/>
          <w:szCs w:val="21"/>
          <w:lang w:eastAsia="en-GB"/>
          <w14:ligatures w14:val="none"/>
        </w:rPr>
        <w:br/>
        <w:t>RA (6 months, 100% FTE): sets up concurrent processing and completes full-season analysis across the Championship dataset: (</w:t>
      </w:r>
      <w:proofErr w:type="spellStart"/>
      <w:r w:rsidRPr="004E6F74">
        <w:rPr>
          <w:rFonts w:ascii="Segoe UI" w:eastAsia="Times New Roman" w:hAnsi="Segoe UI" w:cs="Segoe UI"/>
          <w:color w:val="000000"/>
          <w:kern w:val="0"/>
          <w:sz w:val="21"/>
          <w:szCs w:val="21"/>
          <w:lang w:eastAsia="en-GB"/>
          <w14:ligatures w14:val="none"/>
        </w:rPr>
        <w:t>i</w:t>
      </w:r>
      <w:proofErr w:type="spellEnd"/>
      <w:r w:rsidRPr="004E6F74">
        <w:rPr>
          <w:rFonts w:ascii="Segoe UI" w:eastAsia="Times New Roman" w:hAnsi="Segoe UI" w:cs="Segoe UI"/>
          <w:color w:val="000000"/>
          <w:kern w:val="0"/>
          <w:sz w:val="21"/>
          <w:szCs w:val="21"/>
          <w:lang w:eastAsia="en-GB"/>
          <w14:ligatures w14:val="none"/>
        </w:rPr>
        <w:t>) persistent homology computations, (ii) pattern formation with temporal tracking, (iii) temporal evolution via persistence landscapes, and (iv) statistical validation and documentation. Preliminary work shows sub-second to two-second per-frame performance on HPC, making concurrent processing tractable. Months 4–9 allow pipeline optimisation and systematic analysis at scale. The RA’s skills—Python, parallelisation, TDA libraries (</w:t>
      </w:r>
      <w:proofErr w:type="spellStart"/>
      <w:r w:rsidRPr="004E6F74">
        <w:rPr>
          <w:rFonts w:ascii="Segoe UI" w:eastAsia="Times New Roman" w:hAnsi="Segoe UI" w:cs="Segoe UI"/>
          <w:color w:val="000000"/>
          <w:kern w:val="0"/>
          <w:sz w:val="21"/>
          <w:szCs w:val="21"/>
          <w:lang w:eastAsia="en-GB"/>
          <w14:ligatures w14:val="none"/>
        </w:rPr>
        <w:t>ripser</w:t>
      </w:r>
      <w:proofErr w:type="spellEnd"/>
      <w:r w:rsidRPr="004E6F74">
        <w:rPr>
          <w:rFonts w:ascii="Segoe UI" w:eastAsia="Times New Roman" w:hAnsi="Segoe UI" w:cs="Segoe UI"/>
          <w:color w:val="000000"/>
          <w:kern w:val="0"/>
          <w:sz w:val="21"/>
          <w:szCs w:val="21"/>
          <w:lang w:eastAsia="en-GB"/>
          <w14:ligatures w14:val="none"/>
        </w:rPr>
        <w:t xml:space="preserve">, GUDHI, </w:t>
      </w:r>
      <w:proofErr w:type="spellStart"/>
      <w:r w:rsidRPr="004E6F74">
        <w:rPr>
          <w:rFonts w:ascii="Segoe UI" w:eastAsia="Times New Roman" w:hAnsi="Segoe UI" w:cs="Segoe UI"/>
          <w:color w:val="000000"/>
          <w:kern w:val="0"/>
          <w:sz w:val="21"/>
          <w:szCs w:val="21"/>
          <w:lang w:eastAsia="en-GB"/>
          <w14:ligatures w14:val="none"/>
        </w:rPr>
        <w:t>giotto-tda</w:t>
      </w:r>
      <w:proofErr w:type="spellEnd"/>
      <w:r w:rsidRPr="004E6F74">
        <w:rPr>
          <w:rFonts w:ascii="Segoe UI" w:eastAsia="Times New Roman" w:hAnsi="Segoe UI" w:cs="Segoe UI"/>
          <w:color w:val="000000"/>
          <w:kern w:val="0"/>
          <w:sz w:val="21"/>
          <w:szCs w:val="21"/>
          <w:lang w:eastAsia="en-GB"/>
          <w14:ligatures w14:val="none"/>
        </w:rPr>
        <w:t>), and statistics—match project needs, avoiding external contractors. Appointment length ensures full-season analysis and PI-led integration in months 10–12.</w:t>
      </w:r>
    </w:p>
    <w:p w14:paraId="00A61125" w14:textId="77777777" w:rsidR="004E6F74" w:rsidRPr="004E6F74" w:rsidRDefault="004E6F74" w:rsidP="004E6F74">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E6F74">
        <w:rPr>
          <w:rFonts w:ascii="Segoe UI" w:eastAsia="Times New Roman" w:hAnsi="Segoe UI" w:cs="Segoe UI"/>
          <w:color w:val="000000"/>
          <w:kern w:val="0"/>
          <w:sz w:val="21"/>
          <w:szCs w:val="21"/>
          <w:lang w:eastAsia="en-GB"/>
          <w14:ligatures w14:val="none"/>
        </w:rPr>
        <w:t>PI (165 hours): provides scientific direction and coordination. Tasks: (</w:t>
      </w:r>
      <w:proofErr w:type="spellStart"/>
      <w:r w:rsidRPr="004E6F74">
        <w:rPr>
          <w:rFonts w:ascii="Segoe UI" w:eastAsia="Times New Roman" w:hAnsi="Segoe UI" w:cs="Segoe UI"/>
          <w:color w:val="000000"/>
          <w:kern w:val="0"/>
          <w:sz w:val="21"/>
          <w:szCs w:val="21"/>
          <w:lang w:eastAsia="en-GB"/>
          <w14:ligatures w14:val="none"/>
        </w:rPr>
        <w:t>i</w:t>
      </w:r>
      <w:proofErr w:type="spellEnd"/>
      <w:r w:rsidRPr="004E6F74">
        <w:rPr>
          <w:rFonts w:ascii="Segoe UI" w:eastAsia="Times New Roman" w:hAnsi="Segoe UI" w:cs="Segoe UI"/>
          <w:color w:val="000000"/>
          <w:kern w:val="0"/>
          <w:sz w:val="21"/>
          <w:szCs w:val="21"/>
          <w:lang w:eastAsia="en-GB"/>
          <w14:ligatures w14:val="none"/>
        </w:rPr>
        <w:t>) validate pipeline and analyse 15–20 games in months 1–3; (ii) supervise RA during months 4–9; (iii) manage data-access partnership; (iv) integrate outputs across 540 matches in months 10–12; and (v) lead event correlation, manuscript preparation, and Standard Grant planning. Hours (~3.2/week) balance oversight and development.</w:t>
      </w:r>
    </w:p>
    <w:p w14:paraId="7DEC5FED" w14:textId="77777777" w:rsidR="004E6F74" w:rsidRPr="004E6F74" w:rsidRDefault="004E6F74" w:rsidP="004E6F74">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E6F74">
        <w:rPr>
          <w:rFonts w:ascii="Segoe UI" w:eastAsia="Times New Roman" w:hAnsi="Segoe UI" w:cs="Segoe UI"/>
          <w:color w:val="000000"/>
          <w:kern w:val="0"/>
          <w:sz w:val="21"/>
          <w:szCs w:val="21"/>
          <w:lang w:eastAsia="en-GB"/>
          <w14:ligatures w14:val="none"/>
        </w:rPr>
        <w:t>Co-Is (66 hours):</w:t>
      </w:r>
    </w:p>
    <w:p w14:paraId="7028FCBC" w14:textId="77777777" w:rsidR="004E6F74" w:rsidRPr="004E6F74" w:rsidRDefault="004E6F74" w:rsidP="004E6F74">
      <w:pPr>
        <w:numPr>
          <w:ilvl w:val="0"/>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E6F74">
        <w:rPr>
          <w:rFonts w:ascii="Segoe UI" w:eastAsia="Times New Roman" w:hAnsi="Segoe UI" w:cs="Segoe UI"/>
          <w:color w:val="000000"/>
          <w:kern w:val="0"/>
          <w:sz w:val="21"/>
          <w:szCs w:val="21"/>
          <w:lang w:eastAsia="en-GB"/>
          <w14:ligatures w14:val="none"/>
        </w:rPr>
        <w:t>Sports science (33): interprets outputs, validates, and translates findings for performance analysis.</w:t>
      </w:r>
    </w:p>
    <w:p w14:paraId="6F74A46A" w14:textId="77777777" w:rsidR="004E6F74" w:rsidRPr="004E6F74" w:rsidRDefault="004E6F74" w:rsidP="004E6F74">
      <w:pPr>
        <w:numPr>
          <w:ilvl w:val="0"/>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E6F74">
        <w:rPr>
          <w:rFonts w:ascii="Segoe UI" w:eastAsia="Times New Roman" w:hAnsi="Segoe UI" w:cs="Segoe UI"/>
          <w:color w:val="000000"/>
          <w:kern w:val="0"/>
          <w:sz w:val="21"/>
          <w:szCs w:val="21"/>
          <w:lang w:eastAsia="en-GB"/>
          <w14:ligatures w14:val="none"/>
        </w:rPr>
        <w:t>Applied mathematics (33): ensures TDA rigour, supports validation, and refines framework for publication.</w:t>
      </w:r>
      <w:r w:rsidRPr="004E6F74">
        <w:rPr>
          <w:rFonts w:ascii="Segoe UI" w:eastAsia="Times New Roman" w:hAnsi="Segoe UI" w:cs="Segoe UI"/>
          <w:color w:val="000000"/>
          <w:kern w:val="0"/>
          <w:sz w:val="21"/>
          <w:szCs w:val="21"/>
          <w:lang w:eastAsia="en-GB"/>
          <w14:ligatures w14:val="none"/>
        </w:rPr>
        <w:br/>
        <w:t>This targeted input strengthens validity and impact cost-effectively.</w:t>
      </w:r>
    </w:p>
    <w:p w14:paraId="68D47AE7" w14:textId="77777777" w:rsidR="004E6F74" w:rsidRPr="004E6F74" w:rsidRDefault="004E6F74" w:rsidP="004E6F74">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E6F74">
        <w:rPr>
          <w:rFonts w:ascii="Segoe UI" w:eastAsia="Times New Roman" w:hAnsi="Segoe UI" w:cs="Segoe UI"/>
          <w:b/>
          <w:bCs/>
          <w:color w:val="000000"/>
          <w:kern w:val="0"/>
          <w:sz w:val="21"/>
          <w:szCs w:val="21"/>
          <w:lang w:eastAsia="en-GB"/>
          <w14:ligatures w14:val="none"/>
        </w:rPr>
        <w:t>Facilities and infrastructure</w:t>
      </w:r>
      <w:r w:rsidRPr="004E6F74">
        <w:rPr>
          <w:rFonts w:ascii="Segoe UI" w:eastAsia="Times New Roman" w:hAnsi="Segoe UI" w:cs="Segoe UI"/>
          <w:color w:val="000000"/>
          <w:kern w:val="0"/>
          <w:sz w:val="21"/>
          <w:szCs w:val="21"/>
          <w:lang w:eastAsia="en-GB"/>
          <w14:ligatures w14:val="none"/>
        </w:rPr>
        <w:br/>
        <w:t>HPC, secure storage, estates, and technical support enable reliable, compliant delivery. HPC executes concurrent pipelines and persistent homology across large datasets; secure storage holds raw and processed data plus reproducibility artefacts. Estates provide collaborative space; technician time covers HPC setup and open-source dependencies. No new equipment or licences are needed, improving value and sustainability.</w:t>
      </w:r>
    </w:p>
    <w:p w14:paraId="3A7BEE9F" w14:textId="77777777" w:rsidR="004E6F74" w:rsidRPr="004E6F74" w:rsidRDefault="004E6F74" w:rsidP="004E6F74">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E6F74">
        <w:rPr>
          <w:rFonts w:ascii="Segoe UI" w:eastAsia="Times New Roman" w:hAnsi="Segoe UI" w:cs="Segoe UI"/>
          <w:b/>
          <w:bCs/>
          <w:color w:val="000000"/>
          <w:kern w:val="0"/>
          <w:sz w:val="21"/>
          <w:szCs w:val="21"/>
          <w:lang w:eastAsia="en-GB"/>
          <w14:ligatures w14:val="none"/>
        </w:rPr>
        <w:t>Delivery plan</w:t>
      </w:r>
      <w:r w:rsidRPr="004E6F74">
        <w:rPr>
          <w:rFonts w:ascii="Segoe UI" w:eastAsia="Times New Roman" w:hAnsi="Segoe UI" w:cs="Segoe UI"/>
          <w:color w:val="000000"/>
          <w:kern w:val="0"/>
          <w:sz w:val="21"/>
          <w:szCs w:val="21"/>
          <w:lang w:eastAsia="en-GB"/>
          <w14:ligatures w14:val="none"/>
        </w:rPr>
        <w:br/>
        <w:t>Months 1–3: PI validates pipeline, analyses 15–20 games, and finalises RA work plan.</w:t>
      </w:r>
      <w:r w:rsidRPr="004E6F74">
        <w:rPr>
          <w:rFonts w:ascii="Segoe UI" w:eastAsia="Times New Roman" w:hAnsi="Segoe UI" w:cs="Segoe UI"/>
          <w:color w:val="000000"/>
          <w:kern w:val="0"/>
          <w:sz w:val="21"/>
          <w:szCs w:val="21"/>
          <w:lang w:eastAsia="en-GB"/>
          <w14:ligatures w14:val="none"/>
        </w:rPr>
        <w:br/>
        <w:t>Months 4–9: RA completes full-season analysis, implements methods, and documents code; PI supervises; Co-Is advise at key points.</w:t>
      </w:r>
      <w:r w:rsidRPr="004E6F74">
        <w:rPr>
          <w:rFonts w:ascii="Segoe UI" w:eastAsia="Times New Roman" w:hAnsi="Segoe UI" w:cs="Segoe UI"/>
          <w:color w:val="000000"/>
          <w:kern w:val="0"/>
          <w:sz w:val="21"/>
          <w:szCs w:val="21"/>
          <w:lang w:eastAsia="en-GB"/>
          <w14:ligatures w14:val="none"/>
        </w:rPr>
        <w:br/>
      </w:r>
      <w:r w:rsidRPr="004E6F74">
        <w:rPr>
          <w:rFonts w:ascii="Segoe UI" w:eastAsia="Times New Roman" w:hAnsi="Segoe UI" w:cs="Segoe UI"/>
          <w:color w:val="000000"/>
          <w:kern w:val="0"/>
          <w:sz w:val="21"/>
          <w:szCs w:val="21"/>
          <w:lang w:eastAsia="en-GB"/>
          <w14:ligatures w14:val="none"/>
        </w:rPr>
        <w:lastRenderedPageBreak/>
        <w:t>Months 10–12: PI integrates outputs, conducts event correlation, and leads manuscript and grant preparation.</w:t>
      </w:r>
      <w:r w:rsidRPr="004E6F74">
        <w:rPr>
          <w:rFonts w:ascii="Segoe UI" w:eastAsia="Times New Roman" w:hAnsi="Segoe UI" w:cs="Segoe UI"/>
          <w:color w:val="000000"/>
          <w:kern w:val="0"/>
          <w:sz w:val="21"/>
          <w:szCs w:val="21"/>
          <w:lang w:eastAsia="en-GB"/>
          <w14:ligatures w14:val="none"/>
        </w:rPr>
        <w:br/>
        <w:t>This phased plan mitigates risk, concentrates computational activity within RA appointment, and ensures dissemination and future funding preparation.</w:t>
      </w:r>
    </w:p>
    <w:p w14:paraId="3F7E2985" w14:textId="77777777" w:rsidR="004E6F74" w:rsidRPr="004E6F74" w:rsidRDefault="004E6F74" w:rsidP="004E6F74">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E6F74">
        <w:rPr>
          <w:rFonts w:ascii="Segoe UI" w:eastAsia="Times New Roman" w:hAnsi="Segoe UI" w:cs="Segoe UI"/>
          <w:b/>
          <w:bCs/>
          <w:color w:val="000000"/>
          <w:kern w:val="0"/>
          <w:sz w:val="21"/>
          <w:szCs w:val="21"/>
          <w:lang w:eastAsia="en-GB"/>
          <w14:ligatures w14:val="none"/>
        </w:rPr>
        <w:t>Impact and value</w:t>
      </w:r>
      <w:r w:rsidRPr="004E6F74">
        <w:rPr>
          <w:rFonts w:ascii="Segoe UI" w:eastAsia="Times New Roman" w:hAnsi="Segoe UI" w:cs="Segoe UI"/>
          <w:color w:val="000000"/>
          <w:kern w:val="0"/>
          <w:sz w:val="21"/>
          <w:szCs w:val="21"/>
          <w:lang w:eastAsia="en-GB"/>
          <w14:ligatures w14:val="none"/>
        </w:rPr>
        <w:br/>
        <w:t>Resources support reproducible outputs: validated framework, open code, and rigorous multi-match results. Institutional HPC and storage eliminate capital costs; open-source libraries remove licence fees, aligning with EPSRC principles. Partnership with Swansea City AFC provides high-quality data at no cost, amplifying impact and adoption pathways. RA involvement in publication and code stewardship supports career development and skills pipeline. Collectively, these resources maximise publishable outputs and position the project for a Standard Grant.</w:t>
      </w:r>
    </w:p>
    <w:p w14:paraId="660BB266" w14:textId="77777777" w:rsidR="004E6F74" w:rsidRPr="004E6F74" w:rsidRDefault="004E6F74" w:rsidP="004E6F74">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E6F74">
        <w:rPr>
          <w:rFonts w:ascii="Segoe UI" w:eastAsia="Times New Roman" w:hAnsi="Segoe UI" w:cs="Segoe UI"/>
          <w:b/>
          <w:bCs/>
          <w:color w:val="000000"/>
          <w:kern w:val="0"/>
          <w:sz w:val="21"/>
          <w:szCs w:val="21"/>
          <w:lang w:eastAsia="en-GB"/>
          <w14:ligatures w14:val="none"/>
        </w:rPr>
        <w:t>Risk management</w:t>
      </w:r>
      <w:r w:rsidRPr="004E6F74">
        <w:rPr>
          <w:rFonts w:ascii="Segoe UI" w:eastAsia="Times New Roman" w:hAnsi="Segoe UI" w:cs="Segoe UI"/>
          <w:color w:val="000000"/>
          <w:kern w:val="0"/>
          <w:sz w:val="21"/>
          <w:szCs w:val="21"/>
          <w:lang w:eastAsia="en-GB"/>
          <w14:ligatures w14:val="none"/>
        </w:rPr>
        <w:br/>
        <w:t>Early PI validation and RA-led scale-up reduce technical risk. Institutional facilities guarantee compliance and reliability. Documentation, validation, and quality control ensure robust, reproducible results. Technician input mitigates operational risks without inflating costs.</w:t>
      </w:r>
    </w:p>
    <w:p w14:paraId="70A95E96" w14:textId="77777777" w:rsidR="004B0054" w:rsidRDefault="004B0054"/>
    <w:sectPr w:rsidR="004B0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6CC1"/>
    <w:multiLevelType w:val="multilevel"/>
    <w:tmpl w:val="F954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16362"/>
    <w:multiLevelType w:val="multilevel"/>
    <w:tmpl w:val="CC60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556781">
    <w:abstractNumId w:val="1"/>
  </w:num>
  <w:num w:numId="2" w16cid:durableId="132897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74"/>
    <w:rsid w:val="002663D9"/>
    <w:rsid w:val="004B0054"/>
    <w:rsid w:val="004E6F74"/>
    <w:rsid w:val="00597FEA"/>
    <w:rsid w:val="008B4ED8"/>
    <w:rsid w:val="009A7F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CBD6E"/>
  <w15:chartTrackingRefBased/>
  <w15:docId w15:val="{3A58B641-9EC5-E240-9780-EEFEEE5CC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6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6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F74"/>
    <w:rPr>
      <w:rFonts w:eastAsiaTheme="majorEastAsia" w:cstheme="majorBidi"/>
      <w:color w:val="272727" w:themeColor="text1" w:themeTint="D8"/>
    </w:rPr>
  </w:style>
  <w:style w:type="paragraph" w:styleId="Title">
    <w:name w:val="Title"/>
    <w:basedOn w:val="Normal"/>
    <w:next w:val="Normal"/>
    <w:link w:val="TitleChar"/>
    <w:uiPriority w:val="10"/>
    <w:qFormat/>
    <w:rsid w:val="004E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F74"/>
    <w:pPr>
      <w:spacing w:before="160"/>
      <w:jc w:val="center"/>
    </w:pPr>
    <w:rPr>
      <w:i/>
      <w:iCs/>
      <w:color w:val="404040" w:themeColor="text1" w:themeTint="BF"/>
    </w:rPr>
  </w:style>
  <w:style w:type="character" w:customStyle="1" w:styleId="QuoteChar">
    <w:name w:val="Quote Char"/>
    <w:basedOn w:val="DefaultParagraphFont"/>
    <w:link w:val="Quote"/>
    <w:uiPriority w:val="29"/>
    <w:rsid w:val="004E6F74"/>
    <w:rPr>
      <w:i/>
      <w:iCs/>
      <w:color w:val="404040" w:themeColor="text1" w:themeTint="BF"/>
    </w:rPr>
  </w:style>
  <w:style w:type="paragraph" w:styleId="ListParagraph">
    <w:name w:val="List Paragraph"/>
    <w:basedOn w:val="Normal"/>
    <w:uiPriority w:val="34"/>
    <w:qFormat/>
    <w:rsid w:val="004E6F74"/>
    <w:pPr>
      <w:ind w:left="720"/>
      <w:contextualSpacing/>
    </w:pPr>
  </w:style>
  <w:style w:type="character" w:styleId="IntenseEmphasis">
    <w:name w:val="Intense Emphasis"/>
    <w:basedOn w:val="DefaultParagraphFont"/>
    <w:uiPriority w:val="21"/>
    <w:qFormat/>
    <w:rsid w:val="004E6F74"/>
    <w:rPr>
      <w:i/>
      <w:iCs/>
      <w:color w:val="0F4761" w:themeColor="accent1" w:themeShade="BF"/>
    </w:rPr>
  </w:style>
  <w:style w:type="paragraph" w:styleId="IntenseQuote">
    <w:name w:val="Intense Quote"/>
    <w:basedOn w:val="Normal"/>
    <w:next w:val="Normal"/>
    <w:link w:val="IntenseQuoteChar"/>
    <w:uiPriority w:val="30"/>
    <w:qFormat/>
    <w:rsid w:val="004E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F74"/>
    <w:rPr>
      <w:i/>
      <w:iCs/>
      <w:color w:val="0F4761" w:themeColor="accent1" w:themeShade="BF"/>
    </w:rPr>
  </w:style>
  <w:style w:type="character" w:styleId="IntenseReference">
    <w:name w:val="Intense Reference"/>
    <w:basedOn w:val="DefaultParagraphFont"/>
    <w:uiPriority w:val="32"/>
    <w:qFormat/>
    <w:rsid w:val="004E6F74"/>
    <w:rPr>
      <w:b/>
      <w:bCs/>
      <w:smallCaps/>
      <w:color w:val="0F4761" w:themeColor="accent1" w:themeShade="BF"/>
      <w:spacing w:val="5"/>
    </w:rPr>
  </w:style>
  <w:style w:type="character" w:styleId="Strong">
    <w:name w:val="Strong"/>
    <w:basedOn w:val="DefaultParagraphFont"/>
    <w:uiPriority w:val="22"/>
    <w:qFormat/>
    <w:rsid w:val="004E6F74"/>
    <w:rPr>
      <w:b/>
      <w:bCs/>
    </w:rPr>
  </w:style>
  <w:style w:type="paragraph" w:styleId="NormalWeb">
    <w:name w:val="Normal (Web)"/>
    <w:basedOn w:val="Normal"/>
    <w:uiPriority w:val="99"/>
    <w:semiHidden/>
    <w:unhideWhenUsed/>
    <w:rsid w:val="004E6F7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2</Pages>
  <Words>540</Words>
  <Characters>3487</Characters>
  <Application>Microsoft Office Word</Application>
  <DocSecurity>0</DocSecurity>
  <Lines>63</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1</cp:revision>
  <dcterms:created xsi:type="dcterms:W3CDTF">2025-12-04T18:23:00Z</dcterms:created>
  <dcterms:modified xsi:type="dcterms:W3CDTF">2025-12-06T19:59:00Z</dcterms:modified>
</cp:coreProperties>
</file>