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B0EE2" w14:textId="77777777" w:rsidR="00DF5BA9" w:rsidRPr="004F42F1" w:rsidRDefault="00DF5BA9" w:rsidP="00DF5BA9">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Overview and resourcing strategy</w:t>
      </w:r>
    </w:p>
    <w:p w14:paraId="0836B60B" w14:textId="77777777" w:rsidR="00DF5BA9" w:rsidRPr="004F42F1" w:rsidRDefault="00DF5BA9" w:rsidP="00DF5BA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This application requests the minimum set of resources required to deliver four tightly scoped objectives over 12 months. The budget prioritises specialist staff time and access to institutional infrastructure to enable full</w:t>
      </w:r>
      <w:r w:rsidRPr="004F42F1">
        <w:rPr>
          <w:rFonts w:ascii="Segoe UI" w:eastAsia="Times New Roman" w:hAnsi="Segoe UI" w:cs="Segoe UI"/>
          <w:color w:val="000000"/>
          <w:kern w:val="0"/>
          <w:sz w:val="21"/>
          <w:szCs w:val="21"/>
          <w:lang w:eastAsia="en-GB"/>
          <w14:ligatures w14:val="none"/>
        </w:rPr>
        <w:noBreakHyphen/>
        <w:t>season analysis of professional football match data using Topological Data Analysis (TDA). The Full Economic Cost is £95,233, with the EPSRC contribution at 80%. Costs are concentrated where they deliver the highest value: a six</w:t>
      </w:r>
      <w:r w:rsidRPr="004F42F1">
        <w:rPr>
          <w:rFonts w:ascii="Segoe UI" w:eastAsia="Times New Roman" w:hAnsi="Segoe UI" w:cs="Segoe UI"/>
          <w:color w:val="000000"/>
          <w:kern w:val="0"/>
          <w:sz w:val="21"/>
          <w:szCs w:val="21"/>
          <w:lang w:eastAsia="en-GB"/>
          <w14:ligatures w14:val="none"/>
        </w:rPr>
        <w:noBreakHyphen/>
        <w:t>month Research Associate (RA) appointment to execute concurrent, large</w:t>
      </w:r>
      <w:r w:rsidRPr="004F42F1">
        <w:rPr>
          <w:rFonts w:ascii="Segoe UI" w:eastAsia="Times New Roman" w:hAnsi="Segoe UI" w:cs="Segoe UI"/>
          <w:color w:val="000000"/>
          <w:kern w:val="0"/>
          <w:sz w:val="21"/>
          <w:szCs w:val="21"/>
          <w:lang w:eastAsia="en-GB"/>
          <w14:ligatures w14:val="none"/>
        </w:rPr>
        <w:noBreakHyphen/>
        <w:t>scale data processing and methods implementation; Principal Investigator (PI) time for scientific leadership, early pipeline validation, and end</w:t>
      </w:r>
      <w:r w:rsidRPr="004F42F1">
        <w:rPr>
          <w:rFonts w:ascii="Segoe UI" w:eastAsia="Times New Roman" w:hAnsi="Segoe UI" w:cs="Segoe UI"/>
          <w:color w:val="000000"/>
          <w:kern w:val="0"/>
          <w:sz w:val="21"/>
          <w:szCs w:val="21"/>
          <w:lang w:eastAsia="en-GB"/>
          <w14:ligatures w14:val="none"/>
        </w:rPr>
        <w:noBreakHyphen/>
        <w:t>to</w:t>
      </w:r>
      <w:r w:rsidRPr="004F42F1">
        <w:rPr>
          <w:rFonts w:ascii="Segoe UI" w:eastAsia="Times New Roman" w:hAnsi="Segoe UI" w:cs="Segoe UI"/>
          <w:color w:val="000000"/>
          <w:kern w:val="0"/>
          <w:sz w:val="21"/>
          <w:szCs w:val="21"/>
          <w:lang w:eastAsia="en-GB"/>
          <w14:ligatures w14:val="none"/>
        </w:rPr>
        <w:noBreakHyphen/>
        <w:t>end coordination; targeted Co</w:t>
      </w:r>
      <w:r w:rsidRPr="004F42F1">
        <w:rPr>
          <w:rFonts w:ascii="Segoe UI" w:eastAsia="Times New Roman" w:hAnsi="Segoe UI" w:cs="Segoe UI"/>
          <w:color w:val="000000"/>
          <w:kern w:val="0"/>
          <w:sz w:val="21"/>
          <w:szCs w:val="21"/>
          <w:lang w:eastAsia="en-GB"/>
          <w14:ligatures w14:val="none"/>
        </w:rPr>
        <w:noBreakHyphen/>
        <w:t>Investigator (Co</w:t>
      </w:r>
      <w:r w:rsidRPr="004F42F1">
        <w:rPr>
          <w:rFonts w:ascii="Segoe UI" w:eastAsia="Times New Roman" w:hAnsi="Segoe UI" w:cs="Segoe UI"/>
          <w:color w:val="000000"/>
          <w:kern w:val="0"/>
          <w:sz w:val="21"/>
          <w:szCs w:val="21"/>
          <w:lang w:eastAsia="en-GB"/>
          <w14:ligatures w14:val="none"/>
        </w:rPr>
        <w:noBreakHyphen/>
        <w:t>I) input for domain expertise and methodological rigour; and access to institutional high</w:t>
      </w:r>
      <w:r w:rsidRPr="004F42F1">
        <w:rPr>
          <w:rFonts w:ascii="Segoe UI" w:eastAsia="Times New Roman" w:hAnsi="Segoe UI" w:cs="Segoe UI"/>
          <w:color w:val="000000"/>
          <w:kern w:val="0"/>
          <w:sz w:val="21"/>
          <w:szCs w:val="21"/>
          <w:lang w:eastAsia="en-GB"/>
          <w14:ligatures w14:val="none"/>
        </w:rPr>
        <w:noBreakHyphen/>
        <w:t>performance computing (HPC), secure storage, and meeting spaces. No new equipment purchases are required; the project leverages mature open</w:t>
      </w:r>
      <w:r w:rsidRPr="004F42F1">
        <w:rPr>
          <w:rFonts w:ascii="Segoe UI" w:eastAsia="Times New Roman" w:hAnsi="Segoe UI" w:cs="Segoe UI"/>
          <w:color w:val="000000"/>
          <w:kern w:val="0"/>
          <w:sz w:val="21"/>
          <w:szCs w:val="21"/>
          <w:lang w:eastAsia="en-GB"/>
          <w14:ligatures w14:val="none"/>
        </w:rPr>
        <w:noBreakHyphen/>
        <w:t>source libraries and existing institutional facilities, ensuring excellent value for money and timely delivery.</w:t>
      </w:r>
    </w:p>
    <w:p w14:paraId="35F2717A" w14:textId="77777777" w:rsidR="00DF5BA9" w:rsidRPr="004F42F1" w:rsidRDefault="00DF5BA9" w:rsidP="00DF5BA9">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Project staff</w:t>
      </w:r>
    </w:p>
    <w:p w14:paraId="30F838FA" w14:textId="77777777" w:rsidR="00DF5BA9" w:rsidRPr="004F42F1" w:rsidRDefault="00DF5BA9" w:rsidP="00DF5BA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Research Associate (6 months, 100% FTE).</w:t>
      </w:r>
      <w:r w:rsidRPr="004F42F1">
        <w:rPr>
          <w:rFonts w:ascii="Segoe UI" w:eastAsia="Times New Roman" w:hAnsi="Segoe UI" w:cs="Segoe UI"/>
          <w:color w:val="000000"/>
          <w:kern w:val="0"/>
          <w:sz w:val="21"/>
          <w:szCs w:val="21"/>
          <w:lang w:eastAsia="en-GB"/>
          <w14:ligatures w14:val="none"/>
        </w:rPr>
        <w:br/>
        <w:t>The RA is essential to achieving all four objectives within the 12</w:t>
      </w:r>
      <w:r w:rsidRPr="004F42F1">
        <w:rPr>
          <w:rFonts w:ascii="Segoe UI" w:eastAsia="Times New Roman" w:hAnsi="Segoe UI" w:cs="Segoe UI"/>
          <w:color w:val="000000"/>
          <w:kern w:val="0"/>
          <w:sz w:val="21"/>
          <w:szCs w:val="21"/>
          <w:lang w:eastAsia="en-GB"/>
          <w14:ligatures w14:val="none"/>
        </w:rPr>
        <w:noBreakHyphen/>
        <w:t>month timeframe. Their primary responsibility is to set up and operate a concurrent processing pipeline and to complete the full</w:t>
      </w:r>
      <w:r w:rsidRPr="004F42F1">
        <w:rPr>
          <w:rFonts w:ascii="Segoe UI" w:eastAsia="Times New Roman" w:hAnsi="Segoe UI" w:cs="Segoe UI"/>
          <w:color w:val="000000"/>
          <w:kern w:val="0"/>
          <w:sz w:val="21"/>
          <w:szCs w:val="21"/>
          <w:lang w:eastAsia="en-GB"/>
          <w14:ligatures w14:val="none"/>
        </w:rPr>
        <w:noBreakHyphen/>
        <w:t>season analysis across the Championship dataset. This entails: (</w:t>
      </w:r>
      <w:proofErr w:type="spellStart"/>
      <w:r w:rsidRPr="004F42F1">
        <w:rPr>
          <w:rFonts w:ascii="Segoe UI" w:eastAsia="Times New Roman" w:hAnsi="Segoe UI" w:cs="Segoe UI"/>
          <w:color w:val="000000"/>
          <w:kern w:val="0"/>
          <w:sz w:val="21"/>
          <w:szCs w:val="21"/>
          <w:lang w:eastAsia="en-GB"/>
          <w14:ligatures w14:val="none"/>
        </w:rPr>
        <w:t>i</w:t>
      </w:r>
      <w:proofErr w:type="spellEnd"/>
      <w:r w:rsidRPr="004F42F1">
        <w:rPr>
          <w:rFonts w:ascii="Segoe UI" w:eastAsia="Times New Roman" w:hAnsi="Segoe UI" w:cs="Segoe UI"/>
          <w:color w:val="000000"/>
          <w:kern w:val="0"/>
          <w:sz w:val="21"/>
          <w:szCs w:val="21"/>
          <w:lang w:eastAsia="en-GB"/>
          <w14:ligatures w14:val="none"/>
        </w:rPr>
        <w:t>) implementing persistent homology computations at multiple scales per frame, (ii) undertaking pattern formation method development with temporal tracking and baseline signature identification across at least three tactical systems, (iii) delivering the temporal evolution module using persistence landscapes, and (iv) performing statistical validation, quality control, and comprehensive code documentation.</w:t>
      </w:r>
    </w:p>
    <w:p w14:paraId="3DAE98A0" w14:textId="77777777" w:rsidR="00DF5BA9" w:rsidRPr="004F42F1" w:rsidRDefault="00DF5BA9" w:rsidP="00DF5BA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This allocation is justified on both technical and operational grounds. Preliminary work has established sub</w:t>
      </w:r>
      <w:r w:rsidRPr="004F42F1">
        <w:rPr>
          <w:rFonts w:ascii="Segoe UI" w:eastAsia="Times New Roman" w:hAnsi="Segoe UI" w:cs="Segoe UI"/>
          <w:color w:val="000000"/>
          <w:kern w:val="0"/>
          <w:sz w:val="21"/>
          <w:szCs w:val="21"/>
          <w:lang w:eastAsia="en-GB"/>
          <w14:ligatures w14:val="none"/>
        </w:rPr>
        <w:noBreakHyphen/>
        <w:t>second to two</w:t>
      </w:r>
      <w:r w:rsidRPr="004F42F1">
        <w:rPr>
          <w:rFonts w:ascii="Segoe UI" w:eastAsia="Times New Roman" w:hAnsi="Segoe UI" w:cs="Segoe UI"/>
          <w:color w:val="000000"/>
          <w:kern w:val="0"/>
          <w:sz w:val="21"/>
          <w:szCs w:val="21"/>
          <w:lang w:eastAsia="en-GB"/>
          <w14:ligatures w14:val="none"/>
        </w:rPr>
        <w:noBreakHyphen/>
        <w:t>second per</w:t>
      </w:r>
      <w:r w:rsidRPr="004F42F1">
        <w:rPr>
          <w:rFonts w:ascii="Segoe UI" w:eastAsia="Times New Roman" w:hAnsi="Segoe UI" w:cs="Segoe UI"/>
          <w:color w:val="000000"/>
          <w:kern w:val="0"/>
          <w:sz w:val="21"/>
          <w:szCs w:val="21"/>
          <w:lang w:eastAsia="en-GB"/>
          <w14:ligatures w14:val="none"/>
        </w:rPr>
        <w:noBreakHyphen/>
        <w:t>frame performance on the institutional HPC cluster, making concurrent processing of hundreds of matches tractable. Concentrating specialist effort over months 4–9 allows the RA to (a) complete pipeline setup and optimisation early in their appointment and (b) drive systematic analysis of the remaining matches at scale, while ensuring quality assurance and reproducibility. The RA’s skill set—Python, parallelisation, TDA libraries (</w:t>
      </w:r>
      <w:proofErr w:type="spellStart"/>
      <w:r w:rsidRPr="004F42F1">
        <w:rPr>
          <w:rFonts w:ascii="Segoe UI" w:eastAsia="Times New Roman" w:hAnsi="Segoe UI" w:cs="Segoe UI"/>
          <w:color w:val="000000"/>
          <w:kern w:val="0"/>
          <w:sz w:val="21"/>
          <w:szCs w:val="21"/>
          <w:lang w:eastAsia="en-GB"/>
          <w14:ligatures w14:val="none"/>
        </w:rPr>
        <w:t>ripser</w:t>
      </w:r>
      <w:proofErr w:type="spellEnd"/>
      <w:r w:rsidRPr="004F42F1">
        <w:rPr>
          <w:rFonts w:ascii="Segoe UI" w:eastAsia="Times New Roman" w:hAnsi="Segoe UI" w:cs="Segoe UI"/>
          <w:color w:val="000000"/>
          <w:kern w:val="0"/>
          <w:sz w:val="21"/>
          <w:szCs w:val="21"/>
          <w:lang w:eastAsia="en-GB"/>
          <w14:ligatures w14:val="none"/>
        </w:rPr>
        <w:t xml:space="preserve">, GUDHI, </w:t>
      </w:r>
      <w:proofErr w:type="spellStart"/>
      <w:r w:rsidRPr="004F42F1">
        <w:rPr>
          <w:rFonts w:ascii="Segoe UI" w:eastAsia="Times New Roman" w:hAnsi="Segoe UI" w:cs="Segoe UI"/>
          <w:color w:val="000000"/>
          <w:kern w:val="0"/>
          <w:sz w:val="21"/>
          <w:szCs w:val="21"/>
          <w:lang w:eastAsia="en-GB"/>
          <w14:ligatures w14:val="none"/>
        </w:rPr>
        <w:t>giotto</w:t>
      </w:r>
      <w:r w:rsidRPr="004F42F1">
        <w:rPr>
          <w:rFonts w:ascii="Segoe UI" w:eastAsia="Times New Roman" w:hAnsi="Segoe UI" w:cs="Segoe UI"/>
          <w:color w:val="000000"/>
          <w:kern w:val="0"/>
          <w:sz w:val="21"/>
          <w:szCs w:val="21"/>
          <w:lang w:eastAsia="en-GB"/>
          <w14:ligatures w14:val="none"/>
        </w:rPr>
        <w:noBreakHyphen/>
        <w:t>tda</w:t>
      </w:r>
      <w:proofErr w:type="spellEnd"/>
      <w:r w:rsidRPr="004F42F1">
        <w:rPr>
          <w:rFonts w:ascii="Segoe UI" w:eastAsia="Times New Roman" w:hAnsi="Segoe UI" w:cs="Segoe UI"/>
          <w:color w:val="000000"/>
          <w:kern w:val="0"/>
          <w:sz w:val="21"/>
          <w:szCs w:val="21"/>
          <w:lang w:eastAsia="en-GB"/>
          <w14:ligatures w14:val="none"/>
        </w:rPr>
        <w:t>), and statistical analysis—aligns directly with the project’s computational demands and avoids the need for external contractors or additional licences. The appointment length is calibrated to deliver the full season analysis while preserving resource for PI</w:t>
      </w:r>
      <w:r w:rsidRPr="004F42F1">
        <w:rPr>
          <w:rFonts w:ascii="Segoe UI" w:eastAsia="Times New Roman" w:hAnsi="Segoe UI" w:cs="Segoe UI"/>
          <w:color w:val="000000"/>
          <w:kern w:val="0"/>
          <w:sz w:val="21"/>
          <w:szCs w:val="21"/>
          <w:lang w:eastAsia="en-GB"/>
          <w14:ligatures w14:val="none"/>
        </w:rPr>
        <w:noBreakHyphen/>
        <w:t>led integration, write</w:t>
      </w:r>
      <w:r w:rsidRPr="004F42F1">
        <w:rPr>
          <w:rFonts w:ascii="Segoe UI" w:eastAsia="Times New Roman" w:hAnsi="Segoe UI" w:cs="Segoe UI"/>
          <w:color w:val="000000"/>
          <w:kern w:val="0"/>
          <w:sz w:val="21"/>
          <w:szCs w:val="21"/>
          <w:lang w:eastAsia="en-GB"/>
          <w14:ligatures w14:val="none"/>
        </w:rPr>
        <w:noBreakHyphen/>
        <w:t>up, and dissemination in months 10–12.</w:t>
      </w:r>
    </w:p>
    <w:p w14:paraId="6E2208BD" w14:textId="77777777" w:rsidR="00DF5BA9" w:rsidRPr="004F42F1" w:rsidRDefault="00DF5BA9" w:rsidP="00DF5BA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Principal Investigator (165 hours).</w:t>
      </w:r>
      <w:r w:rsidRPr="004F42F1">
        <w:rPr>
          <w:rFonts w:ascii="Segoe UI" w:eastAsia="Times New Roman" w:hAnsi="Segoe UI" w:cs="Segoe UI"/>
          <w:color w:val="000000"/>
          <w:kern w:val="0"/>
          <w:sz w:val="21"/>
          <w:szCs w:val="21"/>
          <w:lang w:eastAsia="en-GB"/>
          <w14:ligatures w14:val="none"/>
        </w:rPr>
        <w:br/>
        <w:t>The PI provides scientific direction, methodological leadership, and coordination that cannot be delegated. The PI will: (</w:t>
      </w:r>
      <w:proofErr w:type="spellStart"/>
      <w:r w:rsidRPr="004F42F1">
        <w:rPr>
          <w:rFonts w:ascii="Segoe UI" w:eastAsia="Times New Roman" w:hAnsi="Segoe UI" w:cs="Segoe UI"/>
          <w:color w:val="000000"/>
          <w:kern w:val="0"/>
          <w:sz w:val="21"/>
          <w:szCs w:val="21"/>
          <w:lang w:eastAsia="en-GB"/>
          <w14:ligatures w14:val="none"/>
        </w:rPr>
        <w:t>i</w:t>
      </w:r>
      <w:proofErr w:type="spellEnd"/>
      <w:r w:rsidRPr="004F42F1">
        <w:rPr>
          <w:rFonts w:ascii="Segoe UI" w:eastAsia="Times New Roman" w:hAnsi="Segoe UI" w:cs="Segoe UI"/>
          <w:color w:val="000000"/>
          <w:kern w:val="0"/>
          <w:sz w:val="21"/>
          <w:szCs w:val="21"/>
          <w:lang w:eastAsia="en-GB"/>
          <w14:ligatures w14:val="none"/>
        </w:rPr>
        <w:t>) develop and validate the initial pipeline and analyse 15–20 games in months 1–3 to establish a robust foundation; (ii) supervise and mentor the RA during months 4–9, ensuring methodological fidelity and quality standards; (iii) manage the partnership critical for data access (Swansea City AFC–</w:t>
      </w:r>
      <w:proofErr w:type="spellStart"/>
      <w:r w:rsidRPr="004F42F1">
        <w:rPr>
          <w:rFonts w:ascii="Segoe UI" w:eastAsia="Times New Roman" w:hAnsi="Segoe UI" w:cs="Segoe UI"/>
          <w:color w:val="000000"/>
          <w:kern w:val="0"/>
          <w:sz w:val="21"/>
          <w:szCs w:val="21"/>
          <w:lang w:eastAsia="en-GB"/>
          <w14:ligatures w14:val="none"/>
        </w:rPr>
        <w:t>StatsBomb</w:t>
      </w:r>
      <w:proofErr w:type="spellEnd"/>
      <w:r w:rsidRPr="004F42F1">
        <w:rPr>
          <w:rFonts w:ascii="Segoe UI" w:eastAsia="Times New Roman" w:hAnsi="Segoe UI" w:cs="Segoe UI"/>
          <w:color w:val="000000"/>
          <w:kern w:val="0"/>
          <w:sz w:val="21"/>
          <w:szCs w:val="21"/>
          <w:lang w:eastAsia="en-GB"/>
          <w14:ligatures w14:val="none"/>
        </w:rPr>
        <w:t>); (iv) coordinate the end</w:t>
      </w:r>
      <w:r w:rsidRPr="004F42F1">
        <w:rPr>
          <w:rFonts w:ascii="Segoe UI" w:eastAsia="Times New Roman" w:hAnsi="Segoe UI" w:cs="Segoe UI"/>
          <w:color w:val="000000"/>
          <w:kern w:val="0"/>
          <w:sz w:val="21"/>
          <w:szCs w:val="21"/>
          <w:lang w:eastAsia="en-GB"/>
          <w14:ligatures w14:val="none"/>
        </w:rPr>
        <w:noBreakHyphen/>
        <w:t>to</w:t>
      </w:r>
      <w:r w:rsidRPr="004F42F1">
        <w:rPr>
          <w:rFonts w:ascii="Segoe UI" w:eastAsia="Times New Roman" w:hAnsi="Segoe UI" w:cs="Segoe UI"/>
          <w:color w:val="000000"/>
          <w:kern w:val="0"/>
          <w:sz w:val="21"/>
          <w:szCs w:val="21"/>
          <w:lang w:eastAsia="en-GB"/>
          <w14:ligatures w14:val="none"/>
        </w:rPr>
        <w:noBreakHyphen/>
        <w:t>end full</w:t>
      </w:r>
      <w:r w:rsidRPr="004F42F1">
        <w:rPr>
          <w:rFonts w:ascii="Segoe UI" w:eastAsia="Times New Roman" w:hAnsi="Segoe UI" w:cs="Segoe UI"/>
          <w:color w:val="000000"/>
          <w:kern w:val="0"/>
          <w:sz w:val="21"/>
          <w:szCs w:val="21"/>
          <w:lang w:eastAsia="en-GB"/>
          <w14:ligatures w14:val="none"/>
        </w:rPr>
        <w:noBreakHyphen/>
        <w:t>season synthesis integrating all 540 matches in months 10–12; and (v) lead event correlation, manuscript preparation, and the subsequent Standard Grant planning. The requested hours (averaging ~3.2 hours/week) represent an optimal balance between strategic oversight, hands</w:t>
      </w:r>
      <w:r w:rsidRPr="004F42F1">
        <w:rPr>
          <w:rFonts w:ascii="Segoe UI" w:eastAsia="Times New Roman" w:hAnsi="Segoe UI" w:cs="Segoe UI"/>
          <w:color w:val="000000"/>
          <w:kern w:val="0"/>
          <w:sz w:val="21"/>
          <w:szCs w:val="21"/>
          <w:lang w:eastAsia="en-GB"/>
          <w14:ligatures w14:val="none"/>
        </w:rPr>
        <w:noBreakHyphen/>
        <w:t xml:space="preserve">on methodological </w:t>
      </w:r>
      <w:r w:rsidRPr="004F42F1">
        <w:rPr>
          <w:rFonts w:ascii="Segoe UI" w:eastAsia="Times New Roman" w:hAnsi="Segoe UI" w:cs="Segoe UI"/>
          <w:color w:val="000000"/>
          <w:kern w:val="0"/>
          <w:sz w:val="21"/>
          <w:szCs w:val="21"/>
          <w:lang w:eastAsia="en-GB"/>
          <w14:ligatures w14:val="none"/>
        </w:rPr>
        <w:lastRenderedPageBreak/>
        <w:t>development, and the PI’s other commitments, ensuring continuity and timely delivery without over</w:t>
      </w:r>
      <w:r w:rsidRPr="004F42F1">
        <w:rPr>
          <w:rFonts w:ascii="Segoe UI" w:eastAsia="Times New Roman" w:hAnsi="Segoe UI" w:cs="Segoe UI"/>
          <w:color w:val="000000"/>
          <w:kern w:val="0"/>
          <w:sz w:val="21"/>
          <w:szCs w:val="21"/>
          <w:lang w:eastAsia="en-GB"/>
          <w14:ligatures w14:val="none"/>
        </w:rPr>
        <w:noBreakHyphen/>
        <w:t>resourcing.</w:t>
      </w:r>
    </w:p>
    <w:p w14:paraId="2AB639F7" w14:textId="77777777" w:rsidR="00DF5BA9" w:rsidRPr="004F42F1" w:rsidRDefault="00DF5BA9" w:rsidP="00DF5BA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Co</w:t>
      </w:r>
      <w:r w:rsidRPr="004F42F1">
        <w:rPr>
          <w:rFonts w:ascii="Segoe UI" w:eastAsia="Times New Roman" w:hAnsi="Segoe UI" w:cs="Segoe UI"/>
          <w:b/>
          <w:bCs/>
          <w:color w:val="000000"/>
          <w:kern w:val="0"/>
          <w:sz w:val="21"/>
          <w:szCs w:val="21"/>
          <w:lang w:eastAsia="en-GB"/>
          <w14:ligatures w14:val="none"/>
        </w:rPr>
        <w:noBreakHyphen/>
        <w:t>Investigators (66 hours total).</w:t>
      </w:r>
      <w:r w:rsidRPr="004F42F1">
        <w:rPr>
          <w:rFonts w:ascii="Segoe UI" w:eastAsia="Times New Roman" w:hAnsi="Segoe UI" w:cs="Segoe UI"/>
          <w:color w:val="000000"/>
          <w:kern w:val="0"/>
          <w:sz w:val="21"/>
          <w:szCs w:val="21"/>
          <w:lang w:eastAsia="en-GB"/>
          <w14:ligatures w14:val="none"/>
        </w:rPr>
        <w:br/>
        <w:t>Two Co</w:t>
      </w:r>
      <w:r w:rsidRPr="004F42F1">
        <w:rPr>
          <w:rFonts w:ascii="Segoe UI" w:eastAsia="Times New Roman" w:hAnsi="Segoe UI" w:cs="Segoe UI"/>
          <w:color w:val="000000"/>
          <w:kern w:val="0"/>
          <w:sz w:val="21"/>
          <w:szCs w:val="21"/>
          <w:lang w:eastAsia="en-GB"/>
          <w14:ligatures w14:val="none"/>
        </w:rPr>
        <w:noBreakHyphen/>
        <w:t>Is provide targeted, high</w:t>
      </w:r>
      <w:r w:rsidRPr="004F42F1">
        <w:rPr>
          <w:rFonts w:ascii="Segoe UI" w:eastAsia="Times New Roman" w:hAnsi="Segoe UI" w:cs="Segoe UI"/>
          <w:color w:val="000000"/>
          <w:kern w:val="0"/>
          <w:sz w:val="21"/>
          <w:szCs w:val="21"/>
          <w:lang w:eastAsia="en-GB"/>
          <w14:ligatures w14:val="none"/>
        </w:rPr>
        <w:noBreakHyphen/>
        <w:t>value expertise without duplication of the PI’s role.</w:t>
      </w:r>
    </w:p>
    <w:p w14:paraId="2BDA8396" w14:textId="77777777" w:rsidR="00DF5BA9" w:rsidRPr="004F42F1" w:rsidRDefault="00DF5BA9" w:rsidP="00DF5BA9">
      <w:pPr>
        <w:numPr>
          <w:ilvl w:val="0"/>
          <w:numId w:val="1"/>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i/>
          <w:iCs/>
          <w:color w:val="000000"/>
          <w:kern w:val="0"/>
          <w:sz w:val="21"/>
          <w:szCs w:val="21"/>
          <w:lang w:eastAsia="en-GB"/>
          <w14:ligatures w14:val="none"/>
        </w:rPr>
        <w:t>Sports science (33 hours):</w:t>
      </w:r>
      <w:r w:rsidRPr="004F42F1">
        <w:rPr>
          <w:rFonts w:ascii="Segoe UI" w:eastAsia="Times New Roman" w:hAnsi="Segoe UI" w:cs="Segoe UI"/>
          <w:color w:val="000000"/>
          <w:kern w:val="0"/>
          <w:sz w:val="21"/>
          <w:szCs w:val="21"/>
          <w:lang w:eastAsia="en-GB"/>
          <w14:ligatures w14:val="none"/>
        </w:rPr>
        <w:t> Interprets topological outputs in the context of professional football tactics, supports validation, and translates findings into practically meaningful insights for performance analysis.</w:t>
      </w:r>
    </w:p>
    <w:p w14:paraId="78F6D693" w14:textId="77777777" w:rsidR="00DF5BA9" w:rsidRPr="004F42F1" w:rsidRDefault="00DF5BA9" w:rsidP="00DF5BA9">
      <w:pPr>
        <w:numPr>
          <w:ilvl w:val="0"/>
          <w:numId w:val="1"/>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i/>
          <w:iCs/>
          <w:color w:val="000000"/>
          <w:kern w:val="0"/>
          <w:sz w:val="21"/>
          <w:szCs w:val="21"/>
          <w:lang w:eastAsia="en-GB"/>
          <w14:ligatures w14:val="none"/>
        </w:rPr>
        <w:t>Applied mathematics (33 hours):</w:t>
      </w:r>
      <w:r w:rsidRPr="004F42F1">
        <w:rPr>
          <w:rFonts w:ascii="Segoe UI" w:eastAsia="Times New Roman" w:hAnsi="Segoe UI" w:cs="Segoe UI"/>
          <w:color w:val="000000"/>
          <w:kern w:val="0"/>
          <w:sz w:val="21"/>
          <w:szCs w:val="21"/>
          <w:lang w:eastAsia="en-GB"/>
          <w14:ligatures w14:val="none"/>
        </w:rPr>
        <w:t> Ensures theoretical rigour in TDA methodology, supports statistical validation, and contributes to framework refinement suitable for top</w:t>
      </w:r>
      <w:r w:rsidRPr="004F42F1">
        <w:rPr>
          <w:rFonts w:ascii="Segoe UI" w:eastAsia="Times New Roman" w:hAnsi="Segoe UI" w:cs="Segoe UI"/>
          <w:color w:val="000000"/>
          <w:kern w:val="0"/>
          <w:sz w:val="21"/>
          <w:szCs w:val="21"/>
          <w:lang w:eastAsia="en-GB"/>
          <w14:ligatures w14:val="none"/>
        </w:rPr>
        <w:noBreakHyphen/>
        <w:t>tier publications.</w:t>
      </w:r>
    </w:p>
    <w:p w14:paraId="3092B160" w14:textId="77777777" w:rsidR="00DF5BA9" w:rsidRPr="004F42F1" w:rsidRDefault="00DF5BA9" w:rsidP="00DF5BA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This measured input guarantees comprehensive coverage across computational topology, sports science, and applied mathematics, strengthening the research’s validity and impact while maintaining cost</w:t>
      </w:r>
      <w:r w:rsidRPr="004F42F1">
        <w:rPr>
          <w:rFonts w:ascii="Segoe UI" w:eastAsia="Times New Roman" w:hAnsi="Segoe UI" w:cs="Segoe UI"/>
          <w:color w:val="000000"/>
          <w:kern w:val="0"/>
          <w:sz w:val="21"/>
          <w:szCs w:val="21"/>
          <w:lang w:eastAsia="en-GB"/>
          <w14:ligatures w14:val="none"/>
        </w:rPr>
        <w:noBreakHyphen/>
        <w:t>effectiveness.</w:t>
      </w:r>
    </w:p>
    <w:p w14:paraId="06AB7FFA" w14:textId="77777777" w:rsidR="00DF5BA9" w:rsidRPr="004F42F1" w:rsidRDefault="00DF5BA9" w:rsidP="00DF5BA9">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Facilities and infrastructure</w:t>
      </w:r>
    </w:p>
    <w:p w14:paraId="7C5953F6" w14:textId="77777777" w:rsidR="00DF5BA9" w:rsidRPr="004F42F1" w:rsidRDefault="00DF5BA9" w:rsidP="00DF5BA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High</w:t>
      </w:r>
      <w:r w:rsidRPr="004F42F1">
        <w:rPr>
          <w:rFonts w:ascii="Segoe UI" w:eastAsia="Times New Roman" w:hAnsi="Segoe UI" w:cs="Segoe UI"/>
          <w:b/>
          <w:bCs/>
          <w:color w:val="000000"/>
          <w:kern w:val="0"/>
          <w:sz w:val="21"/>
          <w:szCs w:val="21"/>
          <w:lang w:eastAsia="en-GB"/>
          <w14:ligatures w14:val="none"/>
        </w:rPr>
        <w:noBreakHyphen/>
        <w:t>performance computing, secure storage, estates, and technical support</w:t>
      </w:r>
      <w:r w:rsidRPr="004F42F1">
        <w:rPr>
          <w:rFonts w:ascii="Segoe UI" w:eastAsia="Times New Roman" w:hAnsi="Segoe UI" w:cs="Segoe UI"/>
          <w:color w:val="000000"/>
          <w:kern w:val="0"/>
          <w:sz w:val="21"/>
          <w:szCs w:val="21"/>
          <w:lang w:eastAsia="en-GB"/>
          <w14:ligatures w14:val="none"/>
        </w:rPr>
        <w:t> are justified as they enable reliable, compliant, and efficient delivery at scale. The project relies on the institutional HPC cluster to execute concurrent pipelines and compute persistent homology across large volumes of match</w:t>
      </w:r>
      <w:r w:rsidRPr="004F42F1">
        <w:rPr>
          <w:rFonts w:ascii="Segoe UI" w:eastAsia="Times New Roman" w:hAnsi="Segoe UI" w:cs="Segoe UI"/>
          <w:color w:val="000000"/>
          <w:kern w:val="0"/>
          <w:sz w:val="21"/>
          <w:szCs w:val="21"/>
          <w:lang w:eastAsia="en-GB"/>
          <w14:ligatures w14:val="none"/>
        </w:rPr>
        <w:noBreakHyphen/>
        <w:t>frame data. Access to secure, GDPR</w:t>
      </w:r>
      <w:r w:rsidRPr="004F42F1">
        <w:rPr>
          <w:rFonts w:ascii="Segoe UI" w:eastAsia="Times New Roman" w:hAnsi="Segoe UI" w:cs="Segoe UI"/>
          <w:color w:val="000000"/>
          <w:kern w:val="0"/>
          <w:sz w:val="21"/>
          <w:szCs w:val="21"/>
          <w:lang w:eastAsia="en-GB"/>
          <w14:ligatures w14:val="none"/>
        </w:rPr>
        <w:noBreakHyphen/>
        <w:t>compliant storage is required to hold raw, intermediate, and processed datasets as well as reproducibility artefacts (code, logs, validation reports). Estates costs provide office and meeting space across the participating departments, facilitating collaboration, supervision, and industry engagement. Modest technician time covers HPC account provisioning, environment setup, data management integration, and support for open</w:t>
      </w:r>
      <w:r w:rsidRPr="004F42F1">
        <w:rPr>
          <w:rFonts w:ascii="Segoe UI" w:eastAsia="Times New Roman" w:hAnsi="Segoe UI" w:cs="Segoe UI"/>
          <w:color w:val="000000"/>
          <w:kern w:val="0"/>
          <w:sz w:val="21"/>
          <w:szCs w:val="21"/>
          <w:lang w:eastAsia="en-GB"/>
          <w14:ligatures w14:val="none"/>
        </w:rPr>
        <w:noBreakHyphen/>
        <w:t>source library dependencies. Crucially, there is </w:t>
      </w:r>
      <w:r w:rsidRPr="004F42F1">
        <w:rPr>
          <w:rFonts w:ascii="Segoe UI" w:eastAsia="Times New Roman" w:hAnsi="Segoe UI" w:cs="Segoe UI"/>
          <w:b/>
          <w:bCs/>
          <w:color w:val="000000"/>
          <w:kern w:val="0"/>
          <w:sz w:val="21"/>
          <w:szCs w:val="21"/>
          <w:lang w:eastAsia="en-GB"/>
          <w14:ligatures w14:val="none"/>
        </w:rPr>
        <w:t>no</w:t>
      </w:r>
      <w:r w:rsidRPr="004F42F1">
        <w:rPr>
          <w:rFonts w:ascii="Segoe UI" w:eastAsia="Times New Roman" w:hAnsi="Segoe UI" w:cs="Segoe UI"/>
          <w:color w:val="000000"/>
          <w:kern w:val="0"/>
          <w:sz w:val="21"/>
          <w:szCs w:val="21"/>
          <w:lang w:eastAsia="en-GB"/>
          <w14:ligatures w14:val="none"/>
        </w:rPr>
        <w:t> need for new equipment purchases or commercial software licences: the project exploits mature, well</w:t>
      </w:r>
      <w:r w:rsidRPr="004F42F1">
        <w:rPr>
          <w:rFonts w:ascii="Segoe UI" w:eastAsia="Times New Roman" w:hAnsi="Segoe UI" w:cs="Segoe UI"/>
          <w:color w:val="000000"/>
          <w:kern w:val="0"/>
          <w:sz w:val="21"/>
          <w:szCs w:val="21"/>
          <w:lang w:eastAsia="en-GB"/>
          <w14:ligatures w14:val="none"/>
        </w:rPr>
        <w:noBreakHyphen/>
        <w:t>supported open</w:t>
      </w:r>
      <w:r w:rsidRPr="004F42F1">
        <w:rPr>
          <w:rFonts w:ascii="Segoe UI" w:eastAsia="Times New Roman" w:hAnsi="Segoe UI" w:cs="Segoe UI"/>
          <w:color w:val="000000"/>
          <w:kern w:val="0"/>
          <w:sz w:val="21"/>
          <w:szCs w:val="21"/>
          <w:lang w:eastAsia="en-GB"/>
          <w14:ligatures w14:val="none"/>
        </w:rPr>
        <w:noBreakHyphen/>
        <w:t>source TDA libraries, further improving value for money and sustainability.</w:t>
      </w:r>
    </w:p>
    <w:p w14:paraId="09F702C6" w14:textId="77777777" w:rsidR="00DF5BA9" w:rsidRPr="004F42F1" w:rsidRDefault="00DF5BA9" w:rsidP="00DF5BA9">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Optimal use of resources and delivery plan</w:t>
      </w:r>
    </w:p>
    <w:p w14:paraId="643229E3" w14:textId="77777777" w:rsidR="00DF5BA9" w:rsidRPr="004F42F1" w:rsidRDefault="00DF5BA9" w:rsidP="00DF5BA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The resource profile has been carefully phased to maximise productivity and minimise waste:</w:t>
      </w:r>
    </w:p>
    <w:p w14:paraId="737DE000" w14:textId="77777777" w:rsidR="00DF5BA9" w:rsidRPr="004F42F1" w:rsidRDefault="00DF5BA9" w:rsidP="00DF5BA9">
      <w:pPr>
        <w:numPr>
          <w:ilvl w:val="0"/>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Months 1–3:</w:t>
      </w:r>
      <w:r w:rsidRPr="004F42F1">
        <w:rPr>
          <w:rFonts w:ascii="Segoe UI" w:eastAsia="Times New Roman" w:hAnsi="Segoe UI" w:cs="Segoe UI"/>
          <w:color w:val="000000"/>
          <w:kern w:val="0"/>
          <w:sz w:val="21"/>
          <w:szCs w:val="21"/>
          <w:lang w:eastAsia="en-GB"/>
          <w14:ligatures w14:val="none"/>
        </w:rPr>
        <w:t xml:space="preserve"> PI develops and validates the pipeline, analyses 15–20 </w:t>
      </w:r>
      <w:proofErr w:type="gramStart"/>
      <w:r w:rsidRPr="004F42F1">
        <w:rPr>
          <w:rFonts w:ascii="Segoe UI" w:eastAsia="Times New Roman" w:hAnsi="Segoe UI" w:cs="Segoe UI"/>
          <w:color w:val="000000"/>
          <w:kern w:val="0"/>
          <w:sz w:val="21"/>
          <w:szCs w:val="21"/>
          <w:lang w:eastAsia="en-GB"/>
          <w14:ligatures w14:val="none"/>
        </w:rPr>
        <w:t>games, and</w:t>
      </w:r>
      <w:proofErr w:type="gramEnd"/>
      <w:r w:rsidRPr="004F42F1">
        <w:rPr>
          <w:rFonts w:ascii="Segoe UI" w:eastAsia="Times New Roman" w:hAnsi="Segoe UI" w:cs="Segoe UI"/>
          <w:color w:val="000000"/>
          <w:kern w:val="0"/>
          <w:sz w:val="21"/>
          <w:szCs w:val="21"/>
          <w:lang w:eastAsia="en-GB"/>
          <w14:ligatures w14:val="none"/>
        </w:rPr>
        <w:t xml:space="preserve"> finalises the RA work plan and quality criteria. This early validation de</w:t>
      </w:r>
      <w:r w:rsidRPr="004F42F1">
        <w:rPr>
          <w:rFonts w:ascii="Segoe UI" w:eastAsia="Times New Roman" w:hAnsi="Segoe UI" w:cs="Segoe UI"/>
          <w:color w:val="000000"/>
          <w:kern w:val="0"/>
          <w:sz w:val="21"/>
          <w:szCs w:val="21"/>
          <w:lang w:eastAsia="en-GB"/>
          <w14:ligatures w14:val="none"/>
        </w:rPr>
        <w:noBreakHyphen/>
        <w:t>risks the subsequent scale</w:t>
      </w:r>
      <w:r w:rsidRPr="004F42F1">
        <w:rPr>
          <w:rFonts w:ascii="Segoe UI" w:eastAsia="Times New Roman" w:hAnsi="Segoe UI" w:cs="Segoe UI"/>
          <w:color w:val="000000"/>
          <w:kern w:val="0"/>
          <w:sz w:val="21"/>
          <w:szCs w:val="21"/>
          <w:lang w:eastAsia="en-GB"/>
          <w14:ligatures w14:val="none"/>
        </w:rPr>
        <w:noBreakHyphen/>
        <w:t>up and ensures the RA can begin with a tested framework.</w:t>
      </w:r>
    </w:p>
    <w:p w14:paraId="3F07477A" w14:textId="77777777" w:rsidR="00DF5BA9" w:rsidRPr="004F42F1" w:rsidRDefault="00DF5BA9" w:rsidP="00DF5BA9">
      <w:pPr>
        <w:numPr>
          <w:ilvl w:val="0"/>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Months 4–9:</w:t>
      </w:r>
      <w:r w:rsidRPr="004F42F1">
        <w:rPr>
          <w:rFonts w:ascii="Segoe UI" w:eastAsia="Times New Roman" w:hAnsi="Segoe UI" w:cs="Segoe UI"/>
          <w:color w:val="000000"/>
          <w:kern w:val="0"/>
          <w:sz w:val="21"/>
          <w:szCs w:val="21"/>
          <w:lang w:eastAsia="en-GB"/>
          <w14:ligatures w14:val="none"/>
        </w:rPr>
        <w:t> RA establishes concurrent processing and completes the full</w:t>
      </w:r>
      <w:r w:rsidRPr="004F42F1">
        <w:rPr>
          <w:rFonts w:ascii="Segoe UI" w:eastAsia="Times New Roman" w:hAnsi="Segoe UI" w:cs="Segoe UI"/>
          <w:color w:val="000000"/>
          <w:kern w:val="0"/>
          <w:sz w:val="21"/>
          <w:szCs w:val="21"/>
          <w:lang w:eastAsia="en-GB"/>
          <w14:ligatures w14:val="none"/>
        </w:rPr>
        <w:noBreakHyphen/>
        <w:t>season analysis across the remaining matches, implements pattern formation and temporal evolution methods, and documents the codebase to reproducible standards. PI supervises, ensuring methodological coherence and timely milestones; Co</w:t>
      </w:r>
      <w:r w:rsidRPr="004F42F1">
        <w:rPr>
          <w:rFonts w:ascii="Segoe UI" w:eastAsia="Times New Roman" w:hAnsi="Segoe UI" w:cs="Segoe UI"/>
          <w:color w:val="000000"/>
          <w:kern w:val="0"/>
          <w:sz w:val="21"/>
          <w:szCs w:val="21"/>
          <w:lang w:eastAsia="en-GB"/>
          <w14:ligatures w14:val="none"/>
        </w:rPr>
        <w:noBreakHyphen/>
        <w:t>Is provide targeted inputs at key decision points (e.g., model assumptions, validation thresholds, interpretation of outputs).</w:t>
      </w:r>
    </w:p>
    <w:p w14:paraId="154DE751" w14:textId="77777777" w:rsidR="00DF5BA9" w:rsidRPr="004F42F1" w:rsidRDefault="00DF5BA9" w:rsidP="00DF5BA9">
      <w:pPr>
        <w:numPr>
          <w:ilvl w:val="0"/>
          <w:numId w:val="2"/>
        </w:num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Months 10–12:</w:t>
      </w:r>
      <w:r w:rsidRPr="004F42F1">
        <w:rPr>
          <w:rFonts w:ascii="Segoe UI" w:eastAsia="Times New Roman" w:hAnsi="Segoe UI" w:cs="Segoe UI"/>
          <w:color w:val="000000"/>
          <w:kern w:val="0"/>
          <w:sz w:val="21"/>
          <w:szCs w:val="21"/>
          <w:lang w:eastAsia="en-GB"/>
          <w14:ligatures w14:val="none"/>
        </w:rPr>
        <w:t> PI integrates outputs across all 540 matches, conducts event correlation analyses, finalises figures and tables, and leads manuscript preparation and Standard Grant development.</w:t>
      </w:r>
    </w:p>
    <w:p w14:paraId="68AFD9A7" w14:textId="77777777" w:rsidR="00DF5BA9" w:rsidRPr="004F42F1" w:rsidRDefault="00DF5BA9" w:rsidP="00DF5BA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lastRenderedPageBreak/>
        <w:t>This plan optimises specialist expertise at the right time, mitigates risks through early validation, and concentrates computationally intensive activity within the RA appointment. It also ensures that dissemination and future funding preparation are resourced appropriately.</w:t>
      </w:r>
    </w:p>
    <w:p w14:paraId="3D3DC398" w14:textId="77777777" w:rsidR="00DF5BA9" w:rsidRPr="004F42F1" w:rsidRDefault="00DF5BA9" w:rsidP="00DF5BA9">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Outcomes, impact, and value for money</w:t>
      </w:r>
    </w:p>
    <w:p w14:paraId="05857597" w14:textId="77777777" w:rsidR="00DF5BA9" w:rsidRPr="004F42F1" w:rsidRDefault="00DF5BA9" w:rsidP="00DF5BA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The requested resources directly support </w:t>
      </w:r>
      <w:r w:rsidRPr="004F42F1">
        <w:rPr>
          <w:rFonts w:ascii="Segoe UI" w:eastAsia="Times New Roman" w:hAnsi="Segoe UI" w:cs="Segoe UI"/>
          <w:b/>
          <w:bCs/>
          <w:color w:val="000000"/>
          <w:kern w:val="0"/>
          <w:sz w:val="21"/>
          <w:szCs w:val="21"/>
          <w:lang w:eastAsia="en-GB"/>
          <w14:ligatures w14:val="none"/>
        </w:rPr>
        <w:t>high</w:t>
      </w:r>
      <w:r w:rsidRPr="004F42F1">
        <w:rPr>
          <w:rFonts w:ascii="Segoe UI" w:eastAsia="Times New Roman" w:hAnsi="Segoe UI" w:cs="Segoe UI"/>
          <w:b/>
          <w:bCs/>
          <w:color w:val="000000"/>
          <w:kern w:val="0"/>
          <w:sz w:val="21"/>
          <w:szCs w:val="21"/>
          <w:lang w:eastAsia="en-GB"/>
          <w14:ligatures w14:val="none"/>
        </w:rPr>
        <w:noBreakHyphen/>
        <w:t>impact, reproducible outputs</w:t>
      </w:r>
      <w:r w:rsidRPr="004F42F1">
        <w:rPr>
          <w:rFonts w:ascii="Segoe UI" w:eastAsia="Times New Roman" w:hAnsi="Segoe UI" w:cs="Segoe UI"/>
          <w:color w:val="000000"/>
          <w:kern w:val="0"/>
          <w:sz w:val="21"/>
          <w:szCs w:val="21"/>
          <w:lang w:eastAsia="en-GB"/>
          <w14:ligatures w14:val="none"/>
        </w:rPr>
        <w:t>: a validated analytical framework, open and well</w:t>
      </w:r>
      <w:r w:rsidRPr="004F42F1">
        <w:rPr>
          <w:rFonts w:ascii="Segoe UI" w:eastAsia="Times New Roman" w:hAnsi="Segoe UI" w:cs="Segoe UI"/>
          <w:color w:val="000000"/>
          <w:kern w:val="0"/>
          <w:sz w:val="21"/>
          <w:szCs w:val="21"/>
          <w:lang w:eastAsia="en-GB"/>
          <w14:ligatures w14:val="none"/>
        </w:rPr>
        <w:noBreakHyphen/>
        <w:t>documented code, and rigorous multi</w:t>
      </w:r>
      <w:r w:rsidRPr="004F42F1">
        <w:rPr>
          <w:rFonts w:ascii="Segoe UI" w:eastAsia="Times New Roman" w:hAnsi="Segoe UI" w:cs="Segoe UI"/>
          <w:color w:val="000000"/>
          <w:kern w:val="0"/>
          <w:sz w:val="21"/>
          <w:szCs w:val="21"/>
          <w:lang w:eastAsia="en-GB"/>
          <w14:ligatures w14:val="none"/>
        </w:rPr>
        <w:noBreakHyphen/>
        <w:t>match results interpretable by sports scientists and analysts. Leveraging institutional HPC and secure storage eliminates the need for capital expenditure and reduces recurring overheads. Relying on mature open</w:t>
      </w:r>
      <w:r w:rsidRPr="004F42F1">
        <w:rPr>
          <w:rFonts w:ascii="Segoe UI" w:eastAsia="Times New Roman" w:hAnsi="Segoe UI" w:cs="Segoe UI"/>
          <w:color w:val="000000"/>
          <w:kern w:val="0"/>
          <w:sz w:val="21"/>
          <w:szCs w:val="21"/>
          <w:lang w:eastAsia="en-GB"/>
          <w14:ligatures w14:val="none"/>
        </w:rPr>
        <w:noBreakHyphen/>
        <w:t xml:space="preserve">source libraries removes licensing costs and aligns with EPSRC’s principles on reproducibility and sustainability. </w:t>
      </w:r>
    </w:p>
    <w:p w14:paraId="6BFCCD63" w14:textId="77777777" w:rsidR="00DF5BA9" w:rsidRPr="004F42F1" w:rsidRDefault="00DF5BA9" w:rsidP="00DF5BA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Partnership value is considerable: in</w:t>
      </w:r>
      <w:r w:rsidRPr="004F42F1">
        <w:rPr>
          <w:rFonts w:ascii="Segoe UI" w:eastAsia="Times New Roman" w:hAnsi="Segoe UI" w:cs="Segoe UI"/>
          <w:color w:val="000000"/>
          <w:kern w:val="0"/>
          <w:sz w:val="21"/>
          <w:szCs w:val="21"/>
          <w:lang w:eastAsia="en-GB"/>
          <w14:ligatures w14:val="none"/>
        </w:rPr>
        <w:noBreakHyphen/>
        <w:t>kind full</w:t>
      </w:r>
      <w:r w:rsidRPr="004F42F1">
        <w:rPr>
          <w:rFonts w:ascii="Segoe UI" w:eastAsia="Times New Roman" w:hAnsi="Segoe UI" w:cs="Segoe UI"/>
          <w:color w:val="000000"/>
          <w:kern w:val="0"/>
          <w:sz w:val="21"/>
          <w:szCs w:val="21"/>
          <w:lang w:eastAsia="en-GB"/>
          <w14:ligatures w14:val="none"/>
        </w:rPr>
        <w:noBreakHyphen/>
        <w:t>season data access and domain insight from Swansea City AFC enable a real</w:t>
      </w:r>
      <w:r w:rsidRPr="004F42F1">
        <w:rPr>
          <w:rFonts w:ascii="Segoe UI" w:eastAsia="Times New Roman" w:hAnsi="Segoe UI" w:cs="Segoe UI"/>
          <w:color w:val="000000"/>
          <w:kern w:val="0"/>
          <w:sz w:val="21"/>
          <w:szCs w:val="21"/>
          <w:lang w:eastAsia="en-GB"/>
          <w14:ligatures w14:val="none"/>
        </w:rPr>
        <w:noBreakHyphen/>
        <w:t>world, high</w:t>
      </w:r>
      <w:r w:rsidRPr="004F42F1">
        <w:rPr>
          <w:rFonts w:ascii="Segoe UI" w:eastAsia="Times New Roman" w:hAnsi="Segoe UI" w:cs="Segoe UI"/>
          <w:color w:val="000000"/>
          <w:kern w:val="0"/>
          <w:sz w:val="21"/>
          <w:szCs w:val="21"/>
          <w:lang w:eastAsia="en-GB"/>
          <w14:ligatures w14:val="none"/>
        </w:rPr>
        <w:noBreakHyphen/>
        <w:t>quality dataset without direct cost to EPSRC. This amplifies impact by ensuring that methods and findings are grounded in professional practice, with clear pathways to adoption in performance analysis and coaching contexts. The RA’s involvement in publication and code stewardship supports </w:t>
      </w:r>
      <w:r w:rsidRPr="004F42F1">
        <w:rPr>
          <w:rFonts w:ascii="Segoe UI" w:eastAsia="Times New Roman" w:hAnsi="Segoe UI" w:cs="Segoe UI"/>
          <w:b/>
          <w:bCs/>
          <w:color w:val="000000"/>
          <w:kern w:val="0"/>
          <w:sz w:val="21"/>
          <w:szCs w:val="21"/>
          <w:lang w:eastAsia="en-GB"/>
          <w14:ligatures w14:val="none"/>
        </w:rPr>
        <w:t>career development</w:t>
      </w:r>
      <w:r w:rsidRPr="004F42F1">
        <w:rPr>
          <w:rFonts w:ascii="Segoe UI" w:eastAsia="Times New Roman" w:hAnsi="Segoe UI" w:cs="Segoe UI"/>
          <w:color w:val="000000"/>
          <w:kern w:val="0"/>
          <w:sz w:val="21"/>
          <w:szCs w:val="21"/>
          <w:lang w:eastAsia="en-GB"/>
          <w14:ligatures w14:val="none"/>
        </w:rPr>
        <w:t>, contributing to the skills pipeline in data</w:t>
      </w:r>
      <w:r w:rsidRPr="004F42F1">
        <w:rPr>
          <w:rFonts w:ascii="Segoe UI" w:eastAsia="Times New Roman" w:hAnsi="Segoe UI" w:cs="Segoe UI"/>
          <w:color w:val="000000"/>
          <w:kern w:val="0"/>
          <w:sz w:val="21"/>
          <w:szCs w:val="21"/>
          <w:lang w:eastAsia="en-GB"/>
          <w14:ligatures w14:val="none"/>
        </w:rPr>
        <w:noBreakHyphen/>
        <w:t xml:space="preserve">driven sports </w:t>
      </w:r>
      <w:r>
        <w:rPr>
          <w:rFonts w:ascii="Segoe UI" w:eastAsia="Times New Roman" w:hAnsi="Segoe UI" w:cs="Segoe UI"/>
          <w:color w:val="000000"/>
          <w:kern w:val="0"/>
          <w:sz w:val="21"/>
          <w:szCs w:val="21"/>
          <w:lang w:eastAsia="en-GB"/>
          <w14:ligatures w14:val="none"/>
        </w:rPr>
        <w:t xml:space="preserve">data-science </w:t>
      </w:r>
      <w:r w:rsidRPr="004F42F1">
        <w:rPr>
          <w:rFonts w:ascii="Segoe UI" w:eastAsia="Times New Roman" w:hAnsi="Segoe UI" w:cs="Segoe UI"/>
          <w:color w:val="000000"/>
          <w:kern w:val="0"/>
          <w:sz w:val="21"/>
          <w:szCs w:val="21"/>
          <w:lang w:eastAsia="en-GB"/>
          <w14:ligatures w14:val="none"/>
        </w:rPr>
        <w:t>and computational topology. Collectively, these resources maximise the probability of producing publishable, citable outputs and provide a strong platform for a subsequent Standard Grant.</w:t>
      </w:r>
    </w:p>
    <w:p w14:paraId="5C603D42" w14:textId="77777777" w:rsidR="00DF5BA9" w:rsidRPr="004F42F1" w:rsidRDefault="00DF5BA9" w:rsidP="00DF5BA9">
      <w:pPr>
        <w:spacing w:before="100" w:beforeAutospacing="1" w:after="100" w:afterAutospacing="1" w:line="300" w:lineRule="atLeast"/>
        <w:rPr>
          <w:rFonts w:ascii="Segoe UI" w:eastAsia="Times New Roman" w:hAnsi="Segoe UI" w:cs="Segoe UI"/>
          <w:b/>
          <w:bCs/>
          <w:color w:val="000000"/>
          <w:kern w:val="0"/>
          <w:sz w:val="21"/>
          <w:szCs w:val="21"/>
          <w:lang w:eastAsia="en-GB"/>
          <w14:ligatures w14:val="none"/>
        </w:rPr>
      </w:pPr>
      <w:r w:rsidRPr="004F42F1">
        <w:rPr>
          <w:rFonts w:ascii="Segoe UI" w:eastAsia="Times New Roman" w:hAnsi="Segoe UI" w:cs="Segoe UI"/>
          <w:b/>
          <w:bCs/>
          <w:color w:val="000000"/>
          <w:kern w:val="0"/>
          <w:sz w:val="21"/>
          <w:szCs w:val="21"/>
          <w:lang w:eastAsia="en-GB"/>
          <w14:ligatures w14:val="none"/>
        </w:rPr>
        <w:t>Risk management and assurance</w:t>
      </w:r>
    </w:p>
    <w:p w14:paraId="731AF533" w14:textId="77777777" w:rsidR="00DF5BA9" w:rsidRPr="004F42F1" w:rsidRDefault="00DF5BA9" w:rsidP="00DF5BA9">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4F42F1">
        <w:rPr>
          <w:rFonts w:ascii="Segoe UI" w:eastAsia="Times New Roman" w:hAnsi="Segoe UI" w:cs="Segoe UI"/>
          <w:color w:val="000000"/>
          <w:kern w:val="0"/>
          <w:sz w:val="21"/>
          <w:szCs w:val="21"/>
          <w:lang w:eastAsia="en-GB"/>
          <w14:ligatures w14:val="none"/>
        </w:rPr>
        <w:t>The phased approach</w:t>
      </w:r>
      <w:r>
        <w:rPr>
          <w:rFonts w:ascii="Segoe UI" w:eastAsia="Times New Roman" w:hAnsi="Segoe UI" w:cs="Segoe UI"/>
          <w:color w:val="000000"/>
          <w:kern w:val="0"/>
          <w:sz w:val="21"/>
          <w:szCs w:val="21"/>
          <w:lang w:eastAsia="en-GB"/>
          <w14:ligatures w14:val="none"/>
        </w:rPr>
        <w:t xml:space="preserve">, </w:t>
      </w:r>
      <w:r w:rsidRPr="004F42F1">
        <w:rPr>
          <w:rFonts w:ascii="Segoe UI" w:eastAsia="Times New Roman" w:hAnsi="Segoe UI" w:cs="Segoe UI"/>
          <w:color w:val="000000"/>
          <w:kern w:val="0"/>
          <w:sz w:val="21"/>
          <w:szCs w:val="21"/>
          <w:lang w:eastAsia="en-GB"/>
          <w14:ligatures w14:val="none"/>
        </w:rPr>
        <w:t>early pipeline validation by the PI, followed by RA</w:t>
      </w:r>
      <w:r w:rsidRPr="004F42F1">
        <w:rPr>
          <w:rFonts w:ascii="Segoe UI" w:eastAsia="Times New Roman" w:hAnsi="Segoe UI" w:cs="Segoe UI"/>
          <w:color w:val="000000"/>
          <w:kern w:val="0"/>
          <w:sz w:val="21"/>
          <w:szCs w:val="21"/>
          <w:lang w:eastAsia="en-GB"/>
          <w14:ligatures w14:val="none"/>
        </w:rPr>
        <w:noBreakHyphen/>
        <w:t>led scale</w:t>
      </w:r>
      <w:r w:rsidRPr="004F42F1">
        <w:rPr>
          <w:rFonts w:ascii="Segoe UI" w:eastAsia="Times New Roman" w:hAnsi="Segoe UI" w:cs="Segoe UI"/>
          <w:color w:val="000000"/>
          <w:kern w:val="0"/>
          <w:sz w:val="21"/>
          <w:szCs w:val="21"/>
          <w:lang w:eastAsia="en-GB"/>
          <w14:ligatures w14:val="none"/>
        </w:rPr>
        <w:noBreakHyphen/>
        <w:t>up</w:t>
      </w:r>
      <w:r>
        <w:rPr>
          <w:rFonts w:ascii="Segoe UI" w:eastAsia="Times New Roman" w:hAnsi="Segoe UI" w:cs="Segoe UI"/>
          <w:color w:val="000000"/>
          <w:kern w:val="0"/>
          <w:sz w:val="21"/>
          <w:szCs w:val="21"/>
          <w:lang w:eastAsia="en-GB"/>
          <w14:ligatures w14:val="none"/>
        </w:rPr>
        <w:t xml:space="preserve">, </w:t>
      </w:r>
      <w:r w:rsidRPr="004F42F1">
        <w:rPr>
          <w:rFonts w:ascii="Segoe UI" w:eastAsia="Times New Roman" w:hAnsi="Segoe UI" w:cs="Segoe UI"/>
          <w:color w:val="000000"/>
          <w:kern w:val="0"/>
          <w:sz w:val="21"/>
          <w:szCs w:val="21"/>
          <w:lang w:eastAsia="en-GB"/>
          <w14:ligatures w14:val="none"/>
        </w:rPr>
        <w:t>reduces technical risk and ensures continuity. Institutional facilities guarantee compliance (e.g., data protection) and reliability (e.g., storage redundancy, supported HPC environments). Code documentation, statistical validation, and quality control are embedded throughout, ensuring that results are robust, reproducible, and audit</w:t>
      </w:r>
      <w:r w:rsidRPr="004F42F1">
        <w:rPr>
          <w:rFonts w:ascii="Segoe UI" w:eastAsia="Times New Roman" w:hAnsi="Segoe UI" w:cs="Segoe UI"/>
          <w:color w:val="000000"/>
          <w:kern w:val="0"/>
          <w:sz w:val="21"/>
          <w:szCs w:val="21"/>
          <w:lang w:eastAsia="en-GB"/>
          <w14:ligatures w14:val="none"/>
        </w:rPr>
        <w:noBreakHyphen/>
        <w:t>ready. The modest technician input further mitigates operational risks by providing support where needed without inflating costs.</w:t>
      </w:r>
    </w:p>
    <w:p w14:paraId="238FC794" w14:textId="77777777" w:rsidR="004B0054" w:rsidRDefault="004B0054"/>
    <w:sectPr w:rsidR="004B0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7922"/>
    <w:multiLevelType w:val="multilevel"/>
    <w:tmpl w:val="B5C8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11BBC"/>
    <w:multiLevelType w:val="multilevel"/>
    <w:tmpl w:val="6240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269804">
    <w:abstractNumId w:val="1"/>
  </w:num>
  <w:num w:numId="2" w16cid:durableId="1088844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BA9"/>
    <w:rsid w:val="002663D9"/>
    <w:rsid w:val="004B0054"/>
    <w:rsid w:val="00597FEA"/>
    <w:rsid w:val="007B28EB"/>
    <w:rsid w:val="009A7F5B"/>
    <w:rsid w:val="00DF5B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DD17"/>
  <w15:chartTrackingRefBased/>
  <w15:docId w15:val="{EBBDC8CF-529C-6B44-B574-DD3699539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BA9"/>
  </w:style>
  <w:style w:type="paragraph" w:styleId="Heading1">
    <w:name w:val="heading 1"/>
    <w:basedOn w:val="Normal"/>
    <w:next w:val="Normal"/>
    <w:link w:val="Heading1Char"/>
    <w:uiPriority w:val="9"/>
    <w:qFormat/>
    <w:rsid w:val="00DF5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BA9"/>
    <w:rPr>
      <w:rFonts w:eastAsiaTheme="majorEastAsia" w:cstheme="majorBidi"/>
      <w:color w:val="272727" w:themeColor="text1" w:themeTint="D8"/>
    </w:rPr>
  </w:style>
  <w:style w:type="paragraph" w:styleId="Title">
    <w:name w:val="Title"/>
    <w:basedOn w:val="Normal"/>
    <w:next w:val="Normal"/>
    <w:link w:val="TitleChar"/>
    <w:uiPriority w:val="10"/>
    <w:qFormat/>
    <w:rsid w:val="00DF5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BA9"/>
    <w:pPr>
      <w:spacing w:before="160"/>
      <w:jc w:val="center"/>
    </w:pPr>
    <w:rPr>
      <w:i/>
      <w:iCs/>
      <w:color w:val="404040" w:themeColor="text1" w:themeTint="BF"/>
    </w:rPr>
  </w:style>
  <w:style w:type="character" w:customStyle="1" w:styleId="QuoteChar">
    <w:name w:val="Quote Char"/>
    <w:basedOn w:val="DefaultParagraphFont"/>
    <w:link w:val="Quote"/>
    <w:uiPriority w:val="29"/>
    <w:rsid w:val="00DF5BA9"/>
    <w:rPr>
      <w:i/>
      <w:iCs/>
      <w:color w:val="404040" w:themeColor="text1" w:themeTint="BF"/>
    </w:rPr>
  </w:style>
  <w:style w:type="paragraph" w:styleId="ListParagraph">
    <w:name w:val="List Paragraph"/>
    <w:basedOn w:val="Normal"/>
    <w:uiPriority w:val="34"/>
    <w:qFormat/>
    <w:rsid w:val="00DF5BA9"/>
    <w:pPr>
      <w:ind w:left="720"/>
      <w:contextualSpacing/>
    </w:pPr>
  </w:style>
  <w:style w:type="character" w:styleId="IntenseEmphasis">
    <w:name w:val="Intense Emphasis"/>
    <w:basedOn w:val="DefaultParagraphFont"/>
    <w:uiPriority w:val="21"/>
    <w:qFormat/>
    <w:rsid w:val="00DF5BA9"/>
    <w:rPr>
      <w:i/>
      <w:iCs/>
      <w:color w:val="0F4761" w:themeColor="accent1" w:themeShade="BF"/>
    </w:rPr>
  </w:style>
  <w:style w:type="paragraph" w:styleId="IntenseQuote">
    <w:name w:val="Intense Quote"/>
    <w:basedOn w:val="Normal"/>
    <w:next w:val="Normal"/>
    <w:link w:val="IntenseQuoteChar"/>
    <w:uiPriority w:val="30"/>
    <w:qFormat/>
    <w:rsid w:val="00DF5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BA9"/>
    <w:rPr>
      <w:i/>
      <w:iCs/>
      <w:color w:val="0F4761" w:themeColor="accent1" w:themeShade="BF"/>
    </w:rPr>
  </w:style>
  <w:style w:type="character" w:styleId="IntenseReference">
    <w:name w:val="Intense Reference"/>
    <w:basedOn w:val="DefaultParagraphFont"/>
    <w:uiPriority w:val="32"/>
    <w:qFormat/>
    <w:rsid w:val="00DF5B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1109</Words>
  <Characters>7410</Characters>
  <Application>Microsoft Office Word</Application>
  <DocSecurity>0</DocSecurity>
  <Lines>105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1</cp:revision>
  <dcterms:created xsi:type="dcterms:W3CDTF">2025-12-04T18:22:00Z</dcterms:created>
  <dcterms:modified xsi:type="dcterms:W3CDTF">2025-12-06T19:58:00Z</dcterms:modified>
</cp:coreProperties>
</file>